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SGB 9 2018 — Abweichende Zielvereinbarungen</w:t>
      </w:r>
    </w:p>
    <w:p>
      <w:r>
        <w:rPr>
          <w:color w:val="555555"/>
          <w:sz w:val="18"/>
        </w:rPr>
        <w:t xml:space="preserve">Neuntes Buch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Leistungsträger und Träger der Leistungserbringer können Zielvereinbarungen zur Erprobung neuer und zur Weiterentwicklung der bestehenden Leistungs- und Finanzierungsstrukturen abschließen.</w:t>
      </w:r>
    </w:p>
    <w:p>
      <w:r>
        <w:t xml:space="preserve">(2) Die individuellen Leistungsansprüche der Leistungsberechtigten bleiben unberührt.</w:t>
      </w:r>
    </w:p>
    <w:p>
      <w:r>
        <w:t xml:space="preserve">(3) Absatz 1 gilt nicht, soweit auch Leistungen nach dem Siebten Kapitel des Zwölften Buches gewährt werden.</w:t>
      </w:r>
    </w:p>
    <w:p>
      <w:r>
        <w:rPr>
          <w:color w:val="555555"/>
          <w:sz w:val="17"/>
        </w:rPr>
        <w:t xml:space="preserve">Zitiervorschlag: § 132 SGB 9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https://recht.nulegal.eu/gesetze/SGB%209%202018/132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