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SGB 8 — Grundrichtung der Erziehung, Gleichberechtigung von jungen Menschen</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Bei der Ausgestaltung der Leistungen und der Erfüllung der Aufgaben sind</w:t>
      </w:r>
    </w:p>
    <w:p>
      <w:pPr>
        <w:ind w:left="420"/>
      </w:pPr>
      <w:r>
        <w:t xml:space="preserve">1. die von den Personensorgeberechtigten bestimmte Grundrichtung der Erziehung sowie die Rechte der Personensorgeberechtigten und des Kindes oder des Jugendlichen bei der Bestimmung der religiösen Erziehung zu beachten,</w:t>
      </w:r>
    </w:p>
    <w:p>
      <w:pPr>
        <w:ind w:left="420"/>
      </w:pPr>
      <w:r>
        <w:t xml:space="preserve">2. die wachsende Fähigkeit und das wachsende Bedürfnis des Kindes oder des Jugendlichen zu selbständigem, verantwortungsbewusstem Handeln sowie die jeweiligen besonderen sozialen und kulturellen Bedürfnisse und Eigenarten junger Menschen und ihrer Familien zu berücksichtigen,</w:t>
      </w:r>
    </w:p>
    <w:p>
      <w:pPr>
        <w:ind w:left="420"/>
      </w:pPr>
      <w:r>
        <w:t xml:space="preserve">3. die unterschiedlichen Lebenslagen von Mädchen, Jungen sowie transidenten, nichtbinären und intergeschlechtlichen jungen Menschen zu berücksichtigen, Benachteiligungen abzubauen und die Gleichberechtigung der Geschlechter zu fördern,</w:t>
      </w:r>
    </w:p>
    <w:p>
      <w:pPr>
        <w:ind w:left="420"/>
      </w:pPr>
      <w:r>
        <w:t xml:space="preserve">4. die gleichberechtigte Teilhabe von jungen Menschen mit und ohne Behinderungen umzusetzen und vorhandene Barrieren abzubauen.</w:t>
      </w:r>
    </w:p>
    <w:p>
      <w:r>
        <w:rPr>
          <w:color w:val="555555"/>
          <w:sz w:val="17"/>
        </w:rPr>
        <w:t xml:space="preserve">Zitiervorschlag: § 9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