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89b SGB 8 — Kostenerstattung bei vorläufigen Maßnahmen zum Schutz von Kindern und Jugendlichen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Kosten, die ein örtlicher Träger im Rahmen der Inobhutnahme von Kindern und Jugendlichen (§ 42) aufgewendet hat, sind von dem örtlichen Träger zu erstatten, dessen Zuständigkeit durch den gewöhnlichen Aufenthalt nach § 86 begründet wird.</w:t>
      </w:r>
    </w:p>
    <w:p>
      <w:r>
        <w:t xml:space="preserve">(2) Ist ein kostenerstattungspflichtiger örtlicher Träger nicht vorhanden, so sind die Kosten von dem überörtlichen Träger zu erstatten, zu dessen Bereich der örtliche Träger gehört.</w:t>
      </w:r>
    </w:p>
    <w:p>
      <w:r>
        <w:t xml:space="preserve">(3) Eine nach Absatz 1 oder 2 begründete Pflicht zur Kostenerstattung bleibt bestehen, wenn und solange nach der Inobhutnahme Leistungen auf Grund einer Zuständigkeit nach § 86 Absatz 7 Satz 1 Halbsatz 2 gewährt werden.</w:t>
      </w:r>
    </w:p>
    <w:p>
      <w:r>
        <w:rPr>
          <w:color w:val="555555"/>
          <w:sz w:val="17"/>
        </w:rPr>
        <w:t xml:space="preserve">Zitiervorschlag: § 89b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https://recht.nulegal.eu/gesetze/SGB%208/89b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