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48a SGB 8 — Sonstige betreute Wohnform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Betrieb einer sonstigen Wohnform, in der Kinder oder Jugendliche betreut werden oder Unterkunft erhalten, gelten die §§ 45 bis 48 entsprechend.</w:t>
      </w:r>
    </w:p>
    <w:p>
      <w:r>
        <w:t xml:space="preserve">(2) Ist die sonstige Wohnform organisatorisch mit einer Einrichtung verbunden, so gilt sie als Teil der Einrichtung.</w:t>
      </w:r>
    </w:p>
    <w:p>
      <w:r>
        <w:rPr>
          <w:color w:val="555555"/>
          <w:sz w:val="17"/>
        </w:rPr>
        <w:t xml:space="preserve">Zitiervorschlag: § 48a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