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42d SGB 8 — Übergangsregelung</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Kann ein Land die Anzahl von unbegleiteten ausländischen Kindern oder Jugendlichen, die seiner Aufnahmequote nach § 42c entspricht, nicht aufnehmen, so kann es dies gegenüber dem Bundesverwaltungsamt anzeigen.</w:t>
      </w:r>
    </w:p>
    <w:p>
      <w:r>
        <w:t xml:space="preserve">(2) In diesem Fall reduziert sich für das Land die Aufnahmequote</w:t>
      </w:r>
    </w:p>
    <w:p>
      <w:pPr>
        <w:ind w:left="420"/>
      </w:pPr>
      <w:r>
        <w:t xml:space="preserve">1. bis zum 1. Dezember 2015 um zwei Drittel sowie</w:t>
      </w:r>
    </w:p>
    <w:p>
      <w:pPr>
        <w:ind w:left="420"/>
      </w:pPr>
      <w:r>
        <w:t xml:space="preserve">2. bis zum 1. Januar 2016 um ein Drittel.</w:t>
      </w:r>
    </w:p>
    <w:p>
      <w:r>
        <w:t xml:space="preserve">(3) Bis zum 31. Dezember 2016 kann die Ausschlussfrist nach § 42b Absatz 4 Nummer 4 um einen Monat verlängert werden, wenn die zuständige Landesstelle gegenüber dem Bundesverwaltungsamt anzeigt, dass die Durchführung des Verteilungsverfahrens in Bezug auf einen unbegleiteten ausländischen Minderjährigen nicht innerhalb dieser Frist erfolgen kann. In diesem Fall hat das Jugendamt nach Ablauf eines Monats nach Beginn der vorläufigen Inobhutnahme die Bestellung eines Vormunds oder Pflegers zu veranlassen.</w:t>
      </w:r>
    </w:p>
    <w:p>
      <w:r>
        <w:t xml:space="preserve">(4) Ab dem 1. August 2016 ist die Geltendmachung des Anspruchs des örtlichen Trägers gegenüber dem nach § 89d Absatz 3 erstattungspflichtigen Land auf Erstattung der Kosten, die vor dem 1. November 2015 entstanden sind, ausgeschlossen. Der Erstattungsanspruch des örtlichen Trägers gegenüber dem nach § 89d Absatz 3 erstattungspflichtigen Land verjährt in einem Jahr; im Übrigen gilt § 113 des Zehnten Buches entsprechend.</w:t>
      </w:r>
    </w:p>
    <w:p>
      <w:r>
        <w:t xml:space="preserve">(5) Die Geltendmachung des Anspruchs des örtlichen Trägers gegenüber dem nach § 89d Absatz 3 erstattungspflichtigen Land auf Erstattung der Kosten, die nach dem 1. November 2015 entstanden sind, ist ausgeschlossen. Die Erstattung dieser Kosten richtet sich nach § 89d Absatz 1.</w:t>
      </w:r>
    </w:p>
    <w:p>
      <w:r>
        <w:rPr>
          <w:color w:val="555555"/>
          <w:sz w:val="17"/>
        </w:rPr>
        <w:t xml:space="preserve">Zitiervorschlag: § 42d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