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SGB 7 — Mehrleistungen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Satzung kann Mehrleistungen bestimmen für</w:t>
      </w:r>
    </w:p>
    <w:p>
      <w:pPr>
        <w:ind w:left="420"/>
      </w:pPr>
      <w:r>
        <w:t xml:space="preserve">1. Personen, die für ein in § 2 Abs. 1 Nr. 9 oder 12 genanntes Unternehmen unentgeltlich, insbesondere ehrenamtlich tätig sind,</w:t>
      </w:r>
    </w:p>
    <w:p>
      <w:pPr>
        <w:ind w:left="420"/>
      </w:pPr>
      <w:r>
        <w:t xml:space="preserve">2. Personen, die nach § 2 Abs. 1 Nr. 10, 11 oder 13 oder Abs. 3 Nr. 2 versichert sind,</w:t>
      </w:r>
    </w:p>
    <w:p>
      <w:pPr>
        <w:ind w:left="420"/>
      </w:pPr>
      <w:r>
        <w:t xml:space="preserve">3. Personen, die nach § 2 Abs. 1 Nr. 1 oder § 2 Absatz 3 Satz 1 Nummer 3 Buchstabe a versichert sind, wenn diese an einer besonderen Auslandsverwendung im Sinne des § 31a des Beamtenversorgungsgesetzes oder des § 87 des Soldatenversorgungsgesetzes teilnehmen, sowie Personen, die nach § 2 Absatz 3 Satz 1 Nummer 3 Buchstabe c versichert sind.</w:t>
      </w:r>
    </w:p>
    <w:p>
      <w:r>
        <w:t xml:space="preserve">Dabei können die Art der versicherten Tätigkeit, insbesondere ihre Gefährlichkeit, sowie Art und Schwere des Gesundheitsschadens berücksichtigt werden.</w:t>
      </w:r>
    </w:p>
    <w:p>
      <w:r>
        <w:t xml:space="preserve">(2) Die Mehrleistungen zu Renten dürfen zusammen mit</w:t>
      </w:r>
    </w:p>
    <w:p>
      <w:pPr>
        <w:ind w:left="420"/>
      </w:pPr>
      <w:r>
        <w:t xml:space="preserve">1. Renten an Versicherte ohne die Zulage für Schwerverletzte 85 vom Hundert,</w:t>
      </w:r>
    </w:p>
    <w:p>
      <w:pPr>
        <w:ind w:left="420"/>
      </w:pPr>
      <w:r>
        <w:t xml:space="preserve">2. Renten an Hinterbliebene 80 vom Hundert</w:t>
      </w:r>
    </w:p>
    <w:p>
      <w:r>
        <w:t xml:space="preserve">des Höchstjahresarbeitsverdienstes nicht überschreiten.</w:t>
      </w:r>
    </w:p>
    <w:p>
      <w:r>
        <w:t xml:space="preserve">(2a) Für die in Absatz 1 Satz 1 Nummer 3 genannten Personen kann die Satzung die Höhe des Jahresarbeitsverdienstes bis zur Höhe des Eineinhalbfachen des Jahresarbeitsverdienstes bestimmen, der nach dem Dritten Abschnitt des Dritten Kapitels maßgebend ist. Absatz 2 ist in diesen Fällen nicht anzuwenden.</w:t>
      </w:r>
    </w:p>
    <w:p>
      <w:r>
        <w:t xml:space="preserve">(3) Die Mehrleistungen werden auf Geldleistungen, deren Höhe vom Einkommen abhängt, nicht angerechnet.</w:t>
      </w:r>
    </w:p>
    <w:p>
      <w:r>
        <w:rPr>
          <w:color w:val="555555"/>
          <w:sz w:val="17"/>
        </w:rPr>
        <w:t xml:space="preserve">Zitiervorschlag: § 94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