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80a SGB 7 — Voraussetzungen für den Rentenanspruch, Wartezeit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Versicherte im Sinne des § 2 Abs. 1 Nr. 5 Buchstabe a und b haben abweichend von § 56 Abs. 1 Satz 1 Anspruch auf eine Rente, wenn ihre Erwerbsfähigkeit infolge eines Versicherungsfalls über die 26. Woche nach dem Versicherungsfall hinaus um wenigstens 30 vom Hundert gemindert ist. § 56 Abs. 1 Satz 2 gilt mit der Maßgabe, dass die Vomhundertsätze zusammen wenigstens die Zahl 30 erreichen müssen.</w:t>
      </w:r>
    </w:p>
    <w:p>
      <w:r>
        <w:t xml:space="preserve">(2) Für Versicherte im Sinne des § 2 Abs. 1 Nr. 5 Buchstabe a wird eine Rente für die ersten 26 Wochen nach dem sich aus § 46 Abs. 1 ergebenden Zeitpunkt oder, wenn kein Anspruch auf Verletztengeld entstanden ist, für die ersten 26 Wochen nach Eintritt des Versicherungsfalls, nicht gezahlt.</w:t>
      </w:r>
    </w:p>
    <w:p>
      <w:r>
        <w:rPr>
          <w:color w:val="555555"/>
          <w:sz w:val="17"/>
        </w:rPr>
        <w:t xml:space="preserve">Zitiervorschlag: § 80a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https://recht.nulegal.eu/gesetze/SGB%207/80a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