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 SGB 7 — Leistungen bei Tod</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Hinterbliebene haben Anspruch auf</w:t>
      </w:r>
    </w:p>
    <w:p>
      <w:pPr>
        <w:ind w:left="420"/>
      </w:pPr>
      <w:r>
        <w:t xml:space="preserve">1. Sterbegeld,</w:t>
      </w:r>
    </w:p>
    <w:p>
      <w:pPr>
        <w:ind w:left="420"/>
      </w:pPr>
      <w:r>
        <w:t xml:space="preserve">2. Erstattung der Kosten der Überführung an den Ort der Bestattung,</w:t>
      </w:r>
    </w:p>
    <w:p>
      <w:pPr>
        <w:ind w:left="420"/>
      </w:pPr>
      <w:r>
        <w:t xml:space="preserve">3. Hinterbliebenenrenten,</w:t>
      </w:r>
    </w:p>
    <w:p>
      <w:pPr>
        <w:ind w:left="420"/>
      </w:pPr>
      <w:r>
        <w:t xml:space="preserve">4. Beihilfe.</w:t>
      </w:r>
    </w:p>
    <w:p>
      <w:r>
        <w:t xml:space="preserve">Der Anspruch auf Leistungen nach Satz 1 Nr. 1 bis 3 besteht nur, wenn der Tod infolge eines Versicherungsfalls eingetreten ist.</w:t>
      </w:r>
    </w:p>
    <w:p>
      <w:r>
        <w:t xml:space="preserve">(1a) Die Vorschriften dieses Unterabschnitts über Hinterbliebenenleistungen an Witwen und Witwer gelten auch für Hinterbliebenenleistungen an Lebenspartner.</w:t>
      </w:r>
    </w:p>
    <w:p>
      <w:r>
        <w:t xml:space="preserve">(2) Dem Tod infolge eines Versicherungsfalls steht der Tod von Versicherten gleich, deren Erwerbsfähigkeit durch die Folgen einer Berufskrankheit nach den Nummern 4101 bis 4104 der Anlage 1 der Berufskrankheiten-Verordnung vom 20. Juni 1968 (BGBl. I S. 721) in der Fassung der Zweiten Verordnung zur Änderung der Berufskrankheiten-Verordnung vom 18. Dezember 1992 (BGBl. I S. 2343) um 50 vom Hundert oder mehr gemindert war. Dies gilt nicht, wenn offenkundig ist, daß der Tod mit der Berufskrankheit nicht in ursächlichem Zusammenhang steht; eine Obduktion zum Zwecke einer solchen Feststellung darf nicht gefordert werden.</w:t>
      </w:r>
    </w:p>
    <w:p>
      <w:r>
        <w:t xml:space="preserve">(3) Ist ein Versicherter getötet worden, so kann der Unfallversicherungsträger die Entnahme einer Blutprobe zur Feststellung von Tatsachen anordnen, die für die Entschädigungspflicht von Bedeutung sind.</w:t>
      </w:r>
    </w:p>
    <w:p>
      <w:r>
        <w:t xml:space="preserve">(4) Sind Versicherte im Zusammenhang mit der versicherten Tätigkeit verschollen, gelten sie als infolge eines Versicherungsfalls verstorben, wenn die Umstände ihren Tod wahrscheinlich machen und seit einem Jahr Nachrichten über ihr Leben nicht eingegangen sind. Der Unfallversicherungsträger kann von den Hinterbliebenen die Versicherung an Eides Statt verlangen, daß ihnen weitere als die angezeigten Nachrichten über die Verschollenen nicht bekannt sind. Der Unfallversicherungsträger ist berechtigt, für die Leistungen den nach den Umständen mutmaßlichen Todestag festzustellen. Bei Versicherten in der Seeschiffahrt wird spätestens der dem Ablauf des Heuerverhältnisses folgende Tag als Todestag festgesetzt.</w:t>
      </w:r>
    </w:p>
    <w:p>
      <w:r>
        <w:rPr>
          <w:color w:val="555555"/>
          <w:sz w:val="17"/>
        </w:rPr>
        <w:t xml:space="preserve">Zitiervorschlag: § 63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