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SGB 7 — Vorrang der medizinischen Betreuung durch die Reeder</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Der Anspruch von Versicherten in der Seefahrt auf Leistungen nach diesem Abschnitt ruht, soweit und solange die Reeder ihre Verpflichtung zur medizinischen Betreuung nach dem Seearbeitsgesetz erfüllen. Kommen die Reeder der Verpflichtung nicht nach, kann der Unfallversicherungsträger von den Reedern die Erstattung in Höhe der von ihm erbrachten Leistungen verlangen.</w:t>
      </w:r>
    </w:p>
    <w:p>
      <w:r>
        <w:t xml:space="preserve">(2) Endet die Verpflichtung der Reeder zur medizinischen Betreuung, haben sie hinsichtlich der Folgen des Versicherungsfalls die medizinische Betreuung auf Kosten des Unfallversicherungsträgers fortzusetzen, soweit dieser sie dazu beauftragt.</w:t>
      </w:r>
    </w:p>
    <w:p>
      <w:r>
        <w:rPr>
          <w:color w:val="555555"/>
          <w:sz w:val="17"/>
        </w:rPr>
        <w:t xml:space="preserve">Zitiervorschlag: § 53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