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SGB 7 — Reisekosten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im Zusammenhang mit der Ausführung von Leistungen zur medizinischen Rehabilitation oder zur Teilhabe am Arbeitsleben erforderlichen Reisekosten werden nach § 73 des Neunten Buches übernommen. Im Übrigen werden Reisekosten zur Ausführung der Heilbehandlung nach den Absätzen 2 bis 5 übernommen.</w:t>
      </w:r>
    </w:p>
    <w:p>
      <w:r>
        <w:t xml:space="preserve">(2) Zu den Reisekosten gehören</w:t>
      </w:r>
    </w:p>
    <w:p>
      <w:pPr>
        <w:ind w:left="420"/>
      </w:pPr>
      <w:r>
        <w:t xml:space="preserve">1. Fahr- und Transportkosten,</w:t>
      </w:r>
    </w:p>
    <w:p>
      <w:pPr>
        <w:ind w:left="420"/>
      </w:pPr>
      <w:r>
        <w:t xml:space="preserve">2. Verpflegungs- und Übernachtungskosten,</w:t>
      </w:r>
    </w:p>
    <w:p>
      <w:pPr>
        <w:ind w:left="420"/>
      </w:pPr>
      <w:r>
        <w:t xml:space="preserve">3. Kosten des Gepäcktransports,</w:t>
      </w:r>
    </w:p>
    <w:p>
      <w:pPr>
        <w:ind w:left="420"/>
      </w:pPr>
      <w:r>
        <w:t xml:space="preserve">4. Wegstreckenentschädigung</w:t>
      </w:r>
    </w:p>
    <w:p>
      <w:r>
        <w:t xml:space="preserve">für die Versicherten und für eine wegen des Gesundheitsschadens erforderliche Begleitperson.</w:t>
      </w:r>
    </w:p>
    <w:p>
      <w:r>
        <w:t xml:space="preserve">(3) Reisekosten werden im Regelfall für zwei Familienheimfahrten im Monat oder anstelle von Familienheimfahrten für zwei Fahrten eines Angehörigen zum Aufenthaltsort des Versicherten übernommen.</w:t>
      </w:r>
    </w:p>
    <w:p>
      <w:r>
        <w:t xml:space="preserve">(4) Entgangener Arbeitsverdienst einer Begleitperson wird ersetzt, wenn der Ersatz in einem angemessenen Verhältnis zu den sonst für eine Pflegekraft entstehenden Kosten steht.</w:t>
      </w:r>
    </w:p>
    <w:p>
      <w:r>
        <w:t xml:space="preserve">(5) Das Nähere regeln die Verbände der Unfallversicherungsträger durch gemeinsame Richtlinien.</w:t>
      </w:r>
    </w:p>
    <w:p>
      <w:r>
        <w:rPr>
          <w:color w:val="555555"/>
          <w:sz w:val="17"/>
        </w:rPr>
        <w:t xml:space="preserve">Zitiervorschlag: § 43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