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SGB 7 — Wohnungshilfe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Wohnungshilfe wird erbracht, wenn infolge Art oder Schwere des Gesundheitsschadens nicht nur vorübergehend die behindertengerechte Anpassung vorhandenen oder die Bereitstellung behindertengerechten Wohnraums erforderlich ist.</w:t>
      </w:r>
    </w:p>
    <w:p>
      <w:r>
        <w:t xml:space="preserve">(2) Wohnungshilfe wird ferner erbracht, wenn sie zur Sicherung der beruflichen Eingliederung erforderlich ist.</w:t>
      </w:r>
    </w:p>
    <w:p>
      <w:r>
        <w:t xml:space="preserve">(3) Die Wohnungshilfe umfaßt auch Umzugskosten sowie Kosten für die Bereitstellung von Wohnraum für eine Pflegekraft.</w:t>
      </w:r>
    </w:p>
    <w:p>
      <w:r>
        <w:t xml:space="preserve">(4) Das Nähere regeln die Verbände der Unfallversicherungsträger durch gemeinsame Richtlinien.</w:t>
      </w:r>
    </w:p>
    <w:p>
      <w:r>
        <w:rPr>
          <w:color w:val="555555"/>
          <w:sz w:val="17"/>
        </w:rPr>
        <w:t xml:space="preserve">Zitiervorschlag: § 41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