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SGB 7 — Hilfsmittel</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Hilfsmittel sind alle ärztlich verordneten Sachen, die den Erfolg der Heilbehandlung sichern oder die Folgen von Gesundheitsschäden mildern oder ausgleichen. Dazu gehören insbesondere Körperersatzstücke, orthopädische und andere Hilfsmittel einschließlich der notwendigen Änderung, Instandsetzung und Ersatzbeschaffung sowie der Ausbildung im Gebrauch der Hilfsmittel. Soweit für Hilfsmittel Festbeträge im Sinne des § 36 des Fünften Buches festgesetzt sind, gilt § 29 Abs. 1 Satz 2 und 3 entsprechend.</w:t>
      </w:r>
    </w:p>
    <w:p>
      <w:r>
        <w:t xml:space="preserve">(2) Die Bundesregierung wird ermächtigt, durch Rechtsverordnung mit Zustimmung des Bundesrates die Ausstattung mit Körperersatzstücken, orthopädischen und anderen Hilfsmitteln zu regeln sowie bei bestimmten Gesundheitsschäden eine Entschädigung für Kleider- und Wäscheverschleiß vorzuschreiben. Das Nähere regeln die Verbände der Unfallversicherungsträger durch gemeinsame Richtlinien.</w:t>
      </w:r>
    </w:p>
    <w:p>
      <w:r>
        <w:rPr>
          <w:color w:val="555555"/>
          <w:sz w:val="17"/>
        </w:rPr>
        <w:t xml:space="preserve">Zitiervorschlag: § 31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