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SGB 7 — Versicherung kraft Satzung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Satzung kann bestimmen, daß und unter welchen Voraussetzungen sich die Versicherung erstreckt auf</w:t>
      </w:r>
    </w:p>
    <w:p>
      <w:pPr>
        <w:ind w:left="420"/>
      </w:pPr>
      <w:r>
        <w:t xml:space="preserve">1. Unternehmer und ihre im Unternehmen mitarbeitenden Ehegatten oder Lebenspartner,</w:t>
      </w:r>
    </w:p>
    <w:p>
      <w:pPr>
        <w:ind w:left="420"/>
      </w:pPr>
      <w:r>
        <w:t xml:space="preserve">2. Personen, die sich auf der Unternehmensstätte aufhalten; § 2 Absatz 3 Satz 4 erster Halbsatz gilt entsprechend,</w:t>
      </w:r>
    </w:p>
    <w:p>
      <w:pPr>
        <w:ind w:left="420"/>
      </w:pPr>
      <w:r>
        <w:t xml:space="preserve">3. Personen, die</w:t>
      </w:r>
    </w:p>
    <w:p>
      <w:pPr>
        <w:ind w:left="780"/>
      </w:pPr>
      <w:r>
        <w:t xml:space="preserve">a) im Ausland bei einer staatlichen deutschen Einrichtung beschäftigt werden,</w:t>
      </w:r>
    </w:p>
    <w:p>
      <w:pPr>
        <w:ind w:left="780"/>
      </w:pPr>
      <w:r>
        <w:t xml:space="preserve">b) im Ausland von einer staatlichen deutschen Einrichtung anderen Staaten zur Arbeitsleistung zur Verfügung gestellt werden;</w:t>
      </w:r>
    </w:p>
    <w:p>
      <w:pPr>
        <w:ind w:left="420"/>
      </w:pPr>
      <w:r>
        <w:t xml:space="preserve">Versicherungsschutz besteht nur, soweit die Personen nach dem Recht des Beschäftigungsstaates nicht unfallversichert sind,</w:t>
      </w:r>
    </w:p>
    <w:p>
      <w:pPr>
        <w:ind w:left="420"/>
      </w:pPr>
      <w:r>
        <w:t xml:space="preserve">4. ehrenamtlich Tätige und bürgerschaftlich Engagierte,</w:t>
      </w:r>
    </w:p>
    <w:p>
      <w:pPr>
        <w:ind w:left="420"/>
      </w:pPr>
      <w:r>
        <w:t xml:space="preserve">5. Kinder und Jugendliche während der Teilnahme an Sprachförderungskursen, wenn die Teilnahme auf Grund landesrechtlicher Regelungen erfolgt.</w:t>
      </w:r>
    </w:p>
    <w:p>
      <w:r>
        <w:t xml:space="preserve">(2) Absatz 1 gilt nicht für</w:t>
      </w:r>
    </w:p>
    <w:p>
      <w:pPr>
        <w:ind w:left="420"/>
      </w:pPr>
      <w:r>
        <w:t xml:space="preserve">1. Haushaltsführende,</w:t>
      </w:r>
    </w:p>
    <w:p>
      <w:pPr>
        <w:ind w:left="420"/>
      </w:pPr>
      <w:r>
        <w:t xml:space="preserve">2. Unternehmer von nicht gewerbsmäßig betriebenen Binnenfischereien oder Imkereien und ihre im Unternehmen mitarbeitenden Ehegatten oder Lebenspartner,</w:t>
      </w:r>
    </w:p>
    <w:p>
      <w:pPr>
        <w:ind w:left="420"/>
      </w:pPr>
      <w:r>
        <w:t xml:space="preserve">3. Personen, die aufgrund einer vom Fischerei- oder Jagdausübungsberechtigten erteilten Erlaubnis als Fischerei- oder Jagdgast fischen oder jagen,</w:t>
      </w:r>
    </w:p>
    <w:p>
      <w:pPr>
        <w:ind w:left="420"/>
      </w:pPr>
      <w:r>
        <w:t xml:space="preserve">4. Reeder, die nicht zur Besatzung des Fahrzeugs gehören, und ihre im Unternehmen mitarbeitenden Ehegatten oder Lebenspartner.</w:t>
      </w:r>
    </w:p>
    <w:p>
      <w:r>
        <w:rPr>
          <w:color w:val="555555"/>
          <w:sz w:val="17"/>
        </w:rPr>
        <w:t xml:space="preserve">Zitiervorschlag: § 3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