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219a SGB 7 — Altersrückstellungen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Für Personen nach § 172c Abs. 1 Satz 1, deren Beschäftigungsverhältnis zu einem Unfallversicherungsträger erstmals nach dem 31. Dezember 2009 begründet worden ist, gelten die Zuweisungssätze, die in der Rechtsverordnung nach § 16 Abs. 1 Satz 4 des Versorgungsrücklagegesetzes festgesetzt sind, entsprechend.</w:t>
      </w:r>
    </w:p>
    <w:p>
      <w:r>
        <w:t xml:space="preserve">(3) Versorgungsausgaben für die in § 172c genannten Personenkreise, die ab dem Jahr 2030 entstehen, sowie Ausgaben, die anstelle von Versorgungsausgaben für diese Personenkreise geleistet werden, sind aus dem Altersrückstellungsvermögen zu leisten; die Aufsichtsbehörde kann eine frühere oder spätere Entnahme genehmigen.</w:t>
      </w:r>
    </w:p>
    <w:p>
      <w:r>
        <w:t xml:space="preserve">(4) Soweit Unfallversicherungsträger vor dem 31. Dezember 2009 für einen in § 172c genannten Personenkreis Mitglied einer öffentlich-rechtlichen Versorgungseinrichtung geworden sind, werden die zu erwartenden Versorgungsleistungen im Rahmen der Verpflichtungen nach § 172c entsprechend berücksichtigt. Wurde für die in § 172c genannten Personenkreise vor dem 31. Dezember 2009 Deckungskapital bei aufsichtspflichtigen Unternehmen im Sinne des § 1 Absatz 1 Nummer 1 und 5 des Versicherungsaufsichtsgesetzes gebildet, wird dieses anteilig im Rahmen der Verpflichtungen nach § 172c berücksichtigt.</w:t>
      </w:r>
    </w:p>
    <w:p>
      <w:r>
        <w:rPr>
          <w:color w:val="555555"/>
          <w:sz w:val="17"/>
        </w:rPr>
        <w:t xml:space="preserve">Zitiervorschlag: § 219a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https://recht.nulegal.eu/gesetze/SGB%207/219a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