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209 SGB 7 — Bußgeldvorschriften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29.05.2026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einer Unfallverhütungsvorschrift nach § 15 Abs. 1 oder 2 zuwiderhandelt, soweit sie für einen bestimmten Tatbestand auf diese Bußgeldvorschrift verweist,</w:t>
      </w:r>
    </w:p>
    <w:p>
      <w:pPr>
        <w:ind w:left="420"/>
      </w:pPr>
      <w:r>
        <w:t xml:space="preserve">2. einer vollziehbaren Anordnung nach § 19 Abs. 1 zuwiderhandelt,</w:t>
      </w:r>
    </w:p>
    <w:p>
      <w:pPr>
        <w:ind w:left="420"/>
      </w:pPr>
      <w:r>
        <w:t xml:space="preserve">3. entgegen § 19 Abs. 2 Satz 2 eine Maßnahme nicht duldet,</w:t>
      </w:r>
    </w:p>
    <w:p>
      <w:pPr>
        <w:ind w:left="420"/>
      </w:pPr>
      <w:r>
        <w:t xml:space="preserve">3a. entgegen § 22 Absatz 1 Satz 1, 3 oder 4 keinen Sicherheitsbeauftragten bestellt,</w:t>
      </w:r>
    </w:p>
    <w:p>
      <w:pPr>
        <w:ind w:left="420"/>
      </w:pPr>
      <w:r>
        <w:t xml:space="preserve">4. entgegen § 138 die Versicherten nicht unterrichtet,</w:t>
      </w:r>
    </w:p>
    <w:p>
      <w:pPr>
        <w:ind w:left="420"/>
      </w:pPr>
      <w:r>
        <w:t xml:space="preserve">5. entgegen</w:t>
      </w:r>
    </w:p>
    <w:p>
      <w:pPr>
        <w:ind w:left="780"/>
      </w:pPr>
      <w:r>
        <w:t xml:space="preserve">a) § 165 Absatz 1 Satz 1, auch in Verbindung mit einer Satzung nach § 165 Absatz 1 Satz 2 oder Satz 3 dieses Buches, jeweils in Verbindung mit § 34 Absatz 1 Satz 1 des Vierten Buches, oder</w:t>
      </w:r>
    </w:p>
    <w:p>
      <w:pPr>
        <w:ind w:left="780"/>
      </w:pPr>
      <w:r>
        <w:t xml:space="preserve">b) § 194</w:t>
      </w:r>
    </w:p>
    <w:p>
      <w:pPr>
        <w:ind w:left="420"/>
      </w:pPr>
      <w:r>
        <w:t xml:space="preserve">eine Meldung nicht, nicht richtig, nicht vollständig oder nicht rechtzeitig macht,</w:t>
      </w:r>
    </w:p>
    <w:p>
      <w:pPr>
        <w:ind w:left="420"/>
      </w:pPr>
      <w:r>
        <w:t xml:space="preserve">6. entgegen § 165 Absatz 2 Satz 1 in Verbindung mit einer Satzung nach § 34 Absatz 1 Satz 1 des Vierten Buches einen dort genannten Nachweis nicht, nicht richtig, nicht vollständig oder nicht rechtzeitig einreicht,</w:t>
      </w:r>
    </w:p>
    <w:p>
      <w:pPr>
        <w:ind w:left="420"/>
      </w:pPr>
      <w:r>
        <w:t xml:space="preserve">7. entgegen § 165 Abs. 4 eine Aufzeichnung nicht führt oder nicht oder nicht mindestens fünf Jahre aufbewahrt,</w:t>
      </w:r>
    </w:p>
    <w:p>
      <w:pPr>
        <w:ind w:left="420"/>
      </w:pPr>
      <w:r>
        <w:t xml:space="preserve">7a. entgegen § 183 Absatz 6 Satz 1 in Verbindung mit einer Satzung nach § 34 Absatz 1 Satz 1 des Vierten Buches eine Auskunft nicht, nicht richtig, nicht vollständig oder nicht rechtzeitig gibt,</w:t>
      </w:r>
    </w:p>
    <w:p>
      <w:pPr>
        <w:ind w:left="420"/>
      </w:pPr>
      <w:r>
        <w:t xml:space="preserve">8. entgegen § 192 Abs. 1 Nr. 1 bis 3 oder Abs. 4 Satz 1 eine Mitteilung nicht, nicht richtig, nicht vollständig oder nicht rechtzeitig macht,</w:t>
      </w:r>
    </w:p>
    <w:p>
      <w:pPr>
        <w:ind w:left="420"/>
      </w:pPr>
      <w:r>
        <w:t xml:space="preserve">9. entgegen § 193 Abs. 1 Satz 1, auch in Verbindung mit Satz 2, Abs. 2, 3 Satz 2, Abs. 4 oder 6 eine Anzeige nicht, nicht richtig oder nicht rechtzeitig erstattet,</w:t>
      </w:r>
    </w:p>
    <w:p>
      <w:pPr>
        <w:ind w:left="420"/>
      </w:pPr>
      <w:r>
        <w:t xml:space="preserve">10. entgegen § 193 Abs. 9 einen Unfall nicht in das Schiffstagebuch einträgt, nicht darstellt oder nicht in einer besonderen Niederschrift nachweist oder</w:t>
      </w:r>
    </w:p>
    <w:p>
      <w:pPr>
        <w:ind w:left="420"/>
      </w:pPr>
      <w:r>
        <w:t xml:space="preserve">11. entgegen § 198 oder 203 Abs. 1 Satz 1 eine Auskunft nicht, nicht richtig, nicht vollständig oder nicht rechtzeitig erteilt.</w:t>
      </w:r>
    </w:p>
    <w:p>
      <w:r>
        <w:t xml:space="preserve">In den Fällen der Nummer 5, die sich auf geringfügige Beschäftigungen in Privathaushalten im Sinne von § 8a des Vierten Buches beziehen, findet § 266a Abs. 2 des Strafgesetzbuches keine Anwendung.</w:t>
      </w:r>
    </w:p>
    <w:p>
      <w:r>
        <w:t xml:space="preserve">(2) Ordnungswidrig handelt, wer als Unternehmer Versicherten Beiträge ganz oder zum Teil auf das Arbeitsentgelt anrechnet.</w:t>
      </w:r>
    </w:p>
    <w:p>
      <w:r>
        <w:t xml:space="preserve">(3) Die Ordnungswidrigkeit kann in den Fällen des Absatzes 1 Nummer 1 bis 3a mit einer Geldbuße bis zu zehntausend Euro, in den Fällen des Absatzes 2 mit einer Geldbuße bis zu fünftausend Euro, in den übrigen Fällen mit einer Geldbuße bis zu zweitausendfünfhundert Euro geahndet werden.</w:t>
      </w:r>
    </w:p>
    <w:p>
      <w:r>
        <w:rPr>
          <w:color w:val="555555"/>
          <w:sz w:val="17"/>
        </w:rPr>
        <w:t xml:space="preserve">Zitiervorschlag: § 209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https://recht.nulegal.eu/gesetze/SGB%207/209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