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 SGB 7 — Verarbeitung von Daten für die Forschung zur Bekämpfung von Berufskrankheiten</w:t>
      </w:r>
    </w:p>
    <w:p>
      <w:r>
        <w:rPr>
          <w:color w:val="555555"/>
          <w:sz w:val="18"/>
        </w:rPr>
        <w:t xml:space="preserve">Siebtes Buch Sozialgesetzbuch - Gesetzliche Unfallversicherung - (Artikel 1 des Gesetzes vom 7. August 1996, BGBl. I S. 1254)</w:t>
      </w:r>
    </w:p>
    <w:p>
      <w:r>
        <w:rPr>
          <w:color w:val="555555"/>
          <w:sz w:val="18"/>
        </w:rPr>
        <w:t xml:space="preserve">Stand: 31.12.2025 (konsolidierte Textfassung, kein amtliches Inkrafttretensdatum)</w:t>
      </w:r>
    </w:p>
    <w:p>
      <w:r>
        <w:t xml:space="preserve">(1) Ein Arzt oder Angehöriger eines anderen Heilberufes ist befugt, für ein bestimmtes Forschungsvorhaben personenbezogene Daten den Unfallversicherungsträgern und deren Verbänden zu übermitteln, wenn die nachfolgenden Voraussetzungen erfüllt sind und die Genehmigung des Forschungsvorhabens öffentlich bekanntgegeben worden ist. Die Unfallversicherungsträger oder die Verbände haben den Versicherten oder den früheren Versicherten schriftlich über die übermittelten Daten und über den Zweck der Übermittlung zu unterrichten.</w:t>
      </w:r>
    </w:p>
    <w:p>
      <w:r>
        <w:t xml:space="preserve">(2) Die Unfallversicherungsträger und ihre Verbände dürfen Sozialdaten von Versicherten und früheren Versicherten verarbeiten, soweit dies</w:t>
      </w:r>
    </w:p>
    <w:p>
      <w:pPr>
        <w:ind w:left="420"/>
      </w:pPr>
      <w:r>
        <w:t xml:space="preserve">1. zur Durchführung eines bestimmten Forschungsvorhabens, das die Erkennung neuer Berufskrankheiten oder die Verbesserung der Prävention oder der Maßnahmen zur Teilhabe bei Berufskrankheiten zum Ziele hat, erforderlich ist und</w:t>
      </w:r>
    </w:p>
    <w:p>
      <w:pPr>
        <w:ind w:left="420"/>
      </w:pPr>
      <w:r>
        <w:t xml:space="preserve">2. der Zweck dieses Forschungsvorhabens nicht auf andere Weise, insbesondere nicht durch Verarbeitung anonymisierter Daten, erreicht werden kann.</w:t>
      </w:r>
    </w:p>
    <w:p>
      <w:r>
        <w:t xml:space="preserve">Voraussetzung ist, daß die zuständige oberste Bundes- oder Landesbehörde die Verarbeitung der Daten für das Forschungsvorhaben genehmigt hat. Erteilt die zuständige oberste Bundesbehörde die Genehmigung, sind die Bundesärztekammer und der oder die Bundesbeauftragte für den Datenschutz und die Informationsfreiheit anzuhören, in den übrigen Fällen die nach Landesrecht für die Kontrolle des Datenschutzes zuständige Stelle und die Ärztekammer des Landes.</w:t>
      </w:r>
    </w:p>
    <w:p>
      <w:r>
        <w:t xml:space="preserve">(3) Das Forschungsvorhaben darf nur durchgeführt werden, wenn sichergestellt ist, daß keinem Beschäftigten, der an Entscheidungen über Sozialleistungen oder deren Vorbereitung beteiligt ist, die Daten, die für das Forschungsvorhaben verarbeitet werden, zugänglich sind oder von Zugriffsberechtigten weitergegeben werden.</w:t>
      </w:r>
    </w:p>
    <w:p>
      <w:r>
        <w:t xml:space="preserve">(4) Die Durchführung der Forschung ist organisatorisch und räumlich von anderen Aufgaben zu trennen. Die übermittelten Einzelangaben dürfen nicht mit anderen personenbezogenen Daten zusammengeführt werden. § 67c Absatz 6 Satz 2 und 3 des Zehnten Buches bleibt unberührt.</w:t>
      </w:r>
    </w:p>
    <w:p>
      <w:r>
        <w:t xml:space="preserve">(5) Führen die Unfallversicherungsträger oder ihre Verbände das Forschungsvorhaben nicht selbst durch, dürfen die Daten nur anonymisiert an den für das Forschungsvorhaben Verantwortlichen übermittelt werden. Ist nach dem Zweck des Forschungsvorhabens zu erwarten, daß Rückfragen für einen Teil der Betroffenen erforderlich werden, sind sie an die Person zu richten, welche die Daten gemäß Absatz 1 übermittelt hat. Absatz 2 gilt für den für das Forschungsvorhaben Verantwortlichen entsprechend. Die Absätze 3 und 4 gelten entsprechend.</w:t>
      </w:r>
    </w:p>
    <w:p>
      <w:r>
        <w:rPr>
          <w:color w:val="555555"/>
          <w:sz w:val="17"/>
        </w:rPr>
        <w:t xml:space="preserve">Zitiervorschlag: § 206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