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180 SGB 7 — Freibeträge, Unternehmen ohne Gewinnerzielungsabsicht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Anwendung des § 178 Abs. 2 Nr. 2 und Abs. 3 Nr. 2 bleibt für jedes Unternehmen eine Jahresentgeltsumme außer Betracht, die dem Sechsfachen der Bezugsgröße des Kalenderjahres entspricht, für das der Ausgleich durchgeführt wird. Der Freibetrag wird auf volle 500 Euro aufgerundet.</w:t>
      </w:r>
    </w:p>
    <w:p>
      <w:r>
        <w:t xml:space="preserve">(2) Außer Betracht bleiben ferner die Entgeltsummen von Unternehmen nicht gewerbsmäßiger Bauarbeiten sowie von gemeinnützigen, mildtätigen und kirchlichen Einrichtungen.</w:t>
      </w:r>
    </w:p>
    <w:p>
      <w:r>
        <w:rPr>
          <w:color w:val="555555"/>
          <w:sz w:val="17"/>
        </w:rPr>
        <w:t xml:space="preserve">Zitiervorschlag: § 180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