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174 SGB 7 — Teilung der Entschädigungslast bei Berufskrankheiten</w:t>
      </w:r>
    </w:p>
    <w:p>
      <w:r>
        <w:rPr>
          <w:color w:val="555555"/>
          <w:sz w:val="18"/>
        </w:rPr>
        <w:t xml:space="preserve">Siebtes Buch Sozialgesetzbuch - Gesetzliche Unfallversicherung - (Artikel 1 des Gesetzes vom 7. August 1996, BGBl. I S. 1254)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den Fällen des § 134 kann der für die Entschädigung zuständige Unfallversicherungsträger von den anderen einen Ausgleich verlangen.</w:t>
      </w:r>
    </w:p>
    <w:p>
      <w:r>
        <w:t xml:space="preserve">(2) Die Höhe des Ausgleichs nach Absatz 1 richtet sich nach dem Verhältnis der Dauer der gefährdenden Tätigkeit in dem jeweiligen Unternehmen zur Dauer aller gefährdenden Tätigkeiten.</w:t>
      </w:r>
    </w:p>
    <w:p>
      <w:r>
        <w:t xml:space="preserve">(3) Die Unfallversicherungsträger regeln das Nähere durch Vereinbarung; sie können dabei einen von Absatz 2 abweichenden Verteilungsmaßstab wählen, einen pauschalierten Ausgleich vorsehen oder von einem Ausgleich absehen.</w:t>
      </w:r>
    </w:p>
    <w:p>
      <w:r>
        <w:rPr>
          <w:color w:val="555555"/>
          <w:sz w:val="17"/>
        </w:rPr>
        <w:t xml:space="preserve">Zitiervorschlag: § 174 SGB 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https://recht.nulegal.eu/gesetze/SGB%207/174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