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172a SGB 7 — Rücklage</w:t>
      </w:r>
    </w:p>
    <w:p>
      <w:r>
        <w:rPr>
          <w:color w:val="555555"/>
          <w:sz w:val="18"/>
        </w:rPr>
        <w:t xml:space="preserve">Siebtes Buch Sozialgesetzbuch - Gesetzliche Unfallversicherung - (Artikel 1 des Gesetzes vom 7. August 1996, BGBl. I S. 1254)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Unfallversicherungsträger bilden die Rücklage über die in § 82 des Vierten Buches genannte Zweckbestimmung hinaus auch zur Beitragsstabilisierung.</w:t>
      </w:r>
    </w:p>
    <w:p>
      <w:r>
        <w:t xml:space="preserve">(2) Die Rücklage wird mindestens in zweifacher Höhe der durchschnittlichen monatlichen Ausgaben des abgelaufenen Kalenderjahres und höchstens bis zur vierfachen Höhe der durchschnittlichen monatlichen Ausgaben des abgelaufenen Kalenderjahres gebildet; Stichtag für die Bemessung ist der 31. Dezember des laufenden Kalenderjahres.</w:t>
      </w:r>
    </w:p>
    <w:p>
      <w:r>
        <w:t xml:space="preserve">(3) Bis die Rücklage die in Absatz 2 vorgesehene Mindesthöhe erreicht hat, wird ihr jährlich ein Betrag in Höhe von 1,5 Prozent der Ausgaben des abgelaufenen Kalenderjahres zugeführt.</w:t>
      </w:r>
    </w:p>
    <w:p>
      <w:r>
        <w:t xml:space="preserve">(4) Die Aufsichtsbehörde kann auf Antrag des Unfallversicherungsträgers genehmigen, dass die Rücklage bis zu einer geringeren Höhe angesammelt wird oder ihr höhere, geringere oder keine Beträge zugeführt werden.</w:t>
      </w:r>
    </w:p>
    <w:p>
      <w:r>
        <w:t xml:space="preserve">(5) Die Zinsen aus der Rücklage fließen dieser zu, bis sie die Mindesthöhe erreicht hat, die sich aus Absatz 2 ergibt.</w:t>
      </w:r>
    </w:p>
    <w:p>
      <w:r>
        <w:rPr>
          <w:color w:val="555555"/>
          <w:sz w:val="17"/>
        </w:rPr>
        <w:t xml:space="preserve">Zitiervorschlag: § 172a SGB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https://recht.nulegal.eu/gesetze/SGB%207/172a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