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164 SGB 7 — Beitragsvorschüsse und Sicherheitsleistungen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Sicherung des Beitragsaufkommens können die Unfallversicherungsträger Vorschüsse bis zur Höhe des voraussichtlichen Jahresbedarfs erheben.</w:t>
      </w:r>
    </w:p>
    <w:p>
      <w:r>
        <w:t xml:space="preserve">(2) Die Unfallversicherungsträger können bei einem Wechsel der Person des Unternehmers oder bei Einstellung des Unternehmens eine Beitragsabfindung oder auf Antrag eine Sicherheitsleistung festsetzen. Das Nähere bestimmt die Satzung.</w:t>
      </w:r>
    </w:p>
    <w:p>
      <w:r>
        <w:rPr>
          <w:color w:val="555555"/>
          <w:sz w:val="17"/>
        </w:rPr>
        <w:t xml:space="preserve">Zitiervorschlag: § 164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https://recht.nulegal.eu/gesetze/SGB%207/164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