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162 SGB 7 — Zuschläge, Nachlässe, Prämien</w:t>
      </w:r>
    </w:p>
    <w:p>
      <w:r>
        <w:rPr>
          <w:color w:val="555555"/>
          <w:sz w:val="18"/>
        </w:rPr>
        <w:t xml:space="preserve">Siebtes Buch Sozialgesetzbuch - Gesetzliche Unfallversicherung - (Artikel 1 des Gesetzes vom 7. August 1996, BGBl. I S. 1254)</w:t>
      </w:r>
    </w:p>
    <w:p>
      <w:r>
        <w:rPr>
          <w:color w:val="555555"/>
          <w:sz w:val="18"/>
        </w:rPr>
        <w:t xml:space="preserve">Stand: 10.06.2019 (konsolidierte Textfassung, kein amtliches Inkrafttretensdatum)</w:t>
      </w:r>
    </w:p>
    <w:p>
      <w:r>
        <w:t xml:space="preserve">(1) Die gewerblichen Berufsgenossenschaften haben unter Berücksichtigung der anzuzeigenden Versicherungsfälle Zuschläge aufzuerlegen oder Nachlässe zu bewilligen. Versicherungsfälle nach § 8 Abs. 2 Nr. 1 bis 4 bleiben dabei außer Ansatz. Das Nähere bestimmt die Satzung; dabei kann sie Versicherungsfälle, die durch höhere Gewalt oder durch alleiniges Verschulden nicht zum Unternehmen gehörender Personen eintreten, und Versicherungsfälle auf Betriebswegen sowie Berufskrankheiten ausnehmen. Die Höhe der Zuschläge und Nachlässe richtet sich nach der Zahl, der Schwere oder den Aufwendungen für die Versicherungsfälle oder nach mehreren dieser Merkmale. Die Satzung kann bestimmen, dass auch die nicht anzeigepflichtigen Versicherungsfälle für die Berechnung von Zuschlägen oder Nachlässen berücksichtigt werden. Die Sätze 1 bis 5 gelten auch für den Zuständigkeitsbereich der Unfallversicherung Bund und Bahn nach § 125 Absatz 2. Die landwirtschaftliche Berufsgenossenschaft kann durch Satzung bestimmen, daß entsprechend den Sätzen 1 bis 5 Zuschläge auferlegt oder Nachlässe bewilligt werden.</w:t>
      </w:r>
    </w:p>
    <w:p>
      <w:r>
        <w:t xml:space="preserve">(2) Die Unfallversicherungsträger können unter Berücksichtigung der Wirksamkeit der von den Unternehmern getroffenen Maßnahmen zur Verhütung von Arbeitsunfällen und Berufskrankheiten und für die Verhütung von arbeitsbedingten Gesundheitsgefahren Prämien gewähren. Dabei sollen sie auch die in Inklusionsvereinbarungen (§ 166 des Neunten Buches) getroffenen Maßnahmen der betrieblichen Prävention (§ 167 des Neunten Buches) berücksichtigen.</w:t>
      </w:r>
    </w:p>
    <w:p>
      <w:r>
        <w:t xml:space="preserve">(3) Die Absätze 1 und 2 gelten nicht für nicht gewerbsmäßige Bauarbeiten.</w:t>
      </w:r>
    </w:p>
    <w:p>
      <w:r>
        <w:rPr>
          <w:color w:val="555555"/>
          <w:sz w:val="17"/>
        </w:rPr>
        <w:t xml:space="preserve">Zitiervorschlag: § 162 SGB 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https://recht.nulegal.eu/gesetze/SGB%207/162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