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 SGB 7 — Mindestbeitrag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kann bestimmen, daß ein einheitlicher Mindestbeitrag erhoben wird.</w:t>
      </w:r>
    </w:p>
    <w:p>
      <w:r>
        <w:rPr>
          <w:color w:val="555555"/>
          <w:sz w:val="17"/>
        </w:rPr>
        <w:t xml:space="preserve">Zitiervorschlag: § 161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