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SGB 7 — Geltung bei Zuständigkeit anderer Unfallversicherungsträger und für ausländische Unternehmen</w:t>
      </w:r>
    </w:p>
    <w:p>
      <w:r>
        <w:rPr>
          <w:color w:val="555555"/>
          <w:sz w:val="18"/>
        </w:rPr>
        <w:t xml:space="preserve">Siebtes Buch Sozialgesetzbuch - Gesetzliche Unfallversicherung - (Artikel 1 des Gesetzes vom 7. August 1996, BGBl. I S. 1254)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Unfallverhütungsvorschriften eines Unfallversicherungsträgers gelten auch, soweit in dem oder für das Unternehmen Versicherte tätig werden, für die ein anderer Unfallversicherungsträger zuständig ist.</w:t>
      </w:r>
    </w:p>
    <w:p>
      <w:r>
        <w:t xml:space="preserve">(2) Die Unfallverhütungsvorschriften eines Unfallversicherungsträgers gelten auch für Unternehmer und Beschäftigte von ausländischen Unternehmen, die eine Tätigkeit im Inland ausüben, ohne einem Unfallversicherungsträger anzugehören.</w:t>
      </w:r>
    </w:p>
    <w:p>
      <w:r>
        <w:rPr>
          <w:color w:val="555555"/>
          <w:sz w:val="17"/>
        </w:rPr>
        <w:t xml:space="preserve">Zitiervorschlag: § 16 SGB 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https://recht.nulegal.eu/gesetze/SGB%207/16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