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158 SGB 7 — Genehmigung</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Der Gefahrtarif und jede Änderung bedürfen der Genehmigung der Aufsichtsbehörde.</w:t>
      </w:r>
    </w:p>
    <w:p>
      <w:r>
        <w:t xml:space="preserve">(2) Der Unfallversicherungsträger hat spätestens drei Monate vor Ablauf der Geltungsdauer des Gefahrtarifs der Aufsichtsbehörde beabsichtigte Änderungen mitzuteilen. Wird der Gefahrtarif in einer von der Aufsichtsbehörde gesetzten Frist nicht aufgestellt oder wird er nicht genehmigt, stellt ihn die Aufsichtsbehörde auf. § 89 des Vierten Buches gilt.</w:t>
      </w:r>
    </w:p>
    <w:p>
      <w:r>
        <w:rPr>
          <w:color w:val="555555"/>
          <w:sz w:val="17"/>
        </w:rPr>
        <w:t xml:space="preserve">Zitiervorschlag: § 158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https://recht.nulegal.eu/gesetze/SGB%207/158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