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152 SGB 7 — Umlage</w:t>
      </w:r>
    </w:p>
    <w:p>
      <w:r>
        <w:rPr>
          <w:color w:val="555555"/>
          <w:sz w:val="18"/>
        </w:rPr>
        <w:t xml:space="preserve">Siebtes Buch Sozialgesetzbuch - Gesetzliche Unfallversicherung - (Artikel 1 des Gesetzes vom 7. August 1996, BGBl. I S. 1254)</w:t>
      </w:r>
    </w:p>
    <w:p>
      <w:r>
        <w:rPr>
          <w:color w:val="555555"/>
          <w:sz w:val="18"/>
        </w:rPr>
        <w:t xml:space="preserve">Stand: 10.06.2019 (konsolidierte Textfassung, kein amtliches Inkrafttretensdatum)</w:t>
      </w:r>
    </w:p>
    <w:p>
      <w:r>
        <w:t xml:space="preserve">(1) Die Beiträge werden nach Ablauf des Kalenderjahres, in dem die Beitragsansprüche dem Grunde nach entstanden sind, im Wege der Umlage festgesetzt. Die Umlage muß den Bedarf des abgelaufenen Kalenderjahres einschließlich der zur Ansammlung der Rücklage sowie des Verwaltungsvermögens nötigen Beträge decken. Darüber hinaus dürfen Beiträge nur zur Zuführung zu den Betriebsmitteln erhoben werden.</w:t>
      </w:r>
    </w:p>
    <w:p>
      <w:r>
        <w:t xml:space="preserve">(2) Abweichend von Absatz 1 werden die Beiträge für in Eigenarbeit nicht gewerbsmäßig ausgeführte Bauarbeiten (nicht gewerbsmäßige Bauarbeiten) außerhalb der Umlage erhoben.</w:t>
      </w:r>
    </w:p>
    <w:p>
      <w:r>
        <w:t xml:space="preserve">(3) Die Satzung kann bestimmen, dass die Aufwendungen für Versicherte, die im Sinne des § 2 Absatz 1 Nummer 9 zweite Alternative unentgeltlich, insbesondere ehrenamtlich in der Wohlfahrtspflege tätig sind, außerhalb der Umlage nach Absatz 1 auf die Unternehmen und Einrichtungen der Wohlfahrtspflege umgelegt werden.</w:t>
      </w:r>
    </w:p>
    <w:p>
      <w:r>
        <w:rPr>
          <w:color w:val="555555"/>
          <w:sz w:val="17"/>
        </w:rPr>
        <w:t xml:space="preserve">Zitiervorschlag: § 152 SGB 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https://recht.nulegal.eu/gesetze/SGB%207/152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