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SGB 7 — Unfallverhütungsvorschriften</w:t>
      </w:r>
    </w:p>
    <w:p>
      <w:r>
        <w:rPr>
          <w:color w:val="555555"/>
          <w:sz w:val="18"/>
        </w:rPr>
        <w:t xml:space="preserve">Siebtes Buch Sozialgesetzbuch - Gesetzliche Unfallversicherung - (Artikel 1 des Gesetzes vom 7. August 1996, BGBl. I S. 1254)</w:t>
      </w:r>
    </w:p>
    <w:p>
      <w:r>
        <w:rPr>
          <w:color w:val="555555"/>
          <w:sz w:val="18"/>
        </w:rPr>
        <w:t xml:space="preserve">Stand: 02.12.2019 (konsolidierte Textfassung, kein amtliches Inkrafttretensdatum)</w:t>
      </w:r>
    </w:p>
    <w:p>
      <w:r>
        <w:t xml:space="preserve">(1) Die Unfallversicherungsträger können unter Mitwirkung der Deutschen Gesetzlichen Unfallversicherung e. V. als autonomes Recht Unfallverhütungsvorschriften über Maßnahmen zur Verhütung von Arbeitsunfällen, Berufskrankheiten und arbeitsbedingten Gesundheitsgefahren oder für eine wirksame Erste Hilfe erlassen, soweit dies zur Prävention geeignet und erforderlich ist und staatliche Arbeitsschutzvorschriften hierüber keine Regelung treffen; in diesem Rahmen können Unfallverhütungsvorschriften erlassen werden über</w:t>
      </w:r>
    </w:p>
    <w:p>
      <w:pPr>
        <w:ind w:left="420"/>
      </w:pPr>
      <w:r>
        <w:t xml:space="preserve">1. Einrichtungen, Anordnungen und Maßnahmen, welche die Unternehmer zur Verhütung von Arbeitsunfällen, Berufskrankheiten und arbeitsbedingten Gesundheitsgefahren zu treffen haben, sowie die Form der Übertragung dieser Aufgaben auf andere Personen,</w:t>
      </w:r>
    </w:p>
    <w:p>
      <w:pPr>
        <w:ind w:left="420"/>
      </w:pPr>
      <w:r>
        <w:t xml:space="preserve">2. das Verhalten der Versicherten zur Verhütung von Arbeitsunfällen, Berufskrankheiten und arbeitsbedingten Gesundheitsgefahren,</w:t>
      </w:r>
    </w:p>
    <w:p>
      <w:pPr>
        <w:ind w:left="420"/>
      </w:pPr>
      <w:r>
        <w:t xml:space="preserve">3. vom Unternehmer zu veranlassende arbeitsmedizinische Untersuchungen und sonstige arbeitsmedizinische Maßnahmen vor, während und nach der Verrichtung von Arbeiten, die für Versicherte oder für Dritte mit arbeitsbedingten Gefahren für Leben und Gesundheit verbunden sind,</w:t>
      </w:r>
    </w:p>
    <w:p>
      <w:pPr>
        <w:ind w:left="420"/>
      </w:pPr>
      <w:r>
        <w:t xml:space="preserve">4. Voraussetzungen, die der Arzt, der mit Untersuchungen oder Maßnahmen nach Nummer 3 beauftragt ist, zu erfüllen hat, sofern die ärztliche Untersuchung nicht durch eine staatliche Rechtsvorschrift vorgesehen ist,</w:t>
      </w:r>
    </w:p>
    <w:p>
      <w:pPr>
        <w:ind w:left="420"/>
      </w:pPr>
      <w:r>
        <w:t xml:space="preserve">5. die Sicherstellung einer wirksamen Ersten Hilfe durch den Unternehmer,</w:t>
      </w:r>
    </w:p>
    <w:p>
      <w:pPr>
        <w:ind w:left="420"/>
      </w:pPr>
      <w:r>
        <w:t xml:space="preserve">6. die Maßnahmen, die der Unternehmer zur Erfüllung der sich aus dem Gesetz über Betriebsärzte, Sicherheitsingenieure und andere Fachkräfte für Arbeitssicherheit ergebenden Pflichten zu treffen hat,</w:t>
      </w:r>
    </w:p>
    <w:p>
      <w:pPr>
        <w:ind w:left="420"/>
      </w:pPr>
      <w:r>
        <w:t xml:space="preserve">7. die Zahl der Sicherheitsbeauftragten, die nach § 22 unter Berücksichtigung der in den Unternehmen für Leben und Gesundheit der Versicherten bestehenden arbeitsbedingten Gefahren und der Zahl der Beschäftigten zu bestellen sind.</w:t>
      </w:r>
    </w:p>
    <w:p>
      <w:r>
        <w:t xml:space="preserve">In der Unfallverhütungsvorschrift nach Satz 1 Nr. 3 kann bestimmt werden, daß arbeitsmedizinische Vorsorgeuntersuchungen auch durch den Unfallversicherungsträger veranlaßt werden können. Die Deutsche Gesetzliche Unfallversicherung e. V. wirkt beim Erlass von Unfallverhütungsvorschriften auf Rechtseinheitlichkeit hin.</w:t>
      </w:r>
    </w:p>
    <w:p>
      <w:r>
        <w:t xml:space="preserve">(1a) In der landwirtschaftlichen Unfallversicherung ist Absatz 1 mit der Maßgabe anzuwenden, dass Unfallverhütungsvorschriften von der landwirtschaftlichen Berufsgenossenschaft erlassen werden.</w:t>
      </w:r>
    </w:p>
    <w:p>
      <w:r>
        <w:t xml:space="preserve">(2) Soweit die Unfallversicherungsträger Vorschriften nach Absatz 1 Satz 1 Nr. 3 erlassen, können sie zu den dort genannten Zwecken auch die Verarbeitung von folgenden Daten über die untersuchten Personen durch den Unternehmer vorsehen:</w:t>
      </w:r>
    </w:p>
    <w:p>
      <w:pPr>
        <w:ind w:left="420"/>
      </w:pPr>
      <w:r>
        <w:t xml:space="preserve">1. Vor- und Familienname, Geburtsdatum sowie Geschlecht,</w:t>
      </w:r>
    </w:p>
    <w:p>
      <w:pPr>
        <w:ind w:left="420"/>
      </w:pPr>
      <w:r>
        <w:t xml:space="preserve">2. Wohnanschrift,</w:t>
      </w:r>
    </w:p>
    <w:p>
      <w:pPr>
        <w:ind w:left="420"/>
      </w:pPr>
      <w:r>
        <w:t xml:space="preserve">3. Tag der Einstellung und des Ausscheidens,</w:t>
      </w:r>
    </w:p>
    <w:p>
      <w:pPr>
        <w:ind w:left="420"/>
      </w:pPr>
      <w:r>
        <w:t xml:space="preserve">4. Ordnungsnummer,</w:t>
      </w:r>
    </w:p>
    <w:p>
      <w:pPr>
        <w:ind w:left="420"/>
      </w:pPr>
      <w:r>
        <w:t xml:space="preserve">5. zuständige Krankenkasse,</w:t>
      </w:r>
    </w:p>
    <w:p>
      <w:pPr>
        <w:ind w:left="420"/>
      </w:pPr>
      <w:r>
        <w:t xml:space="preserve">6. Art der vom Arbeitsplatz ausgehenden Gefährdungen,</w:t>
      </w:r>
    </w:p>
    <w:p>
      <w:pPr>
        <w:ind w:left="420"/>
      </w:pPr>
      <w:r>
        <w:t xml:space="preserve">7. Art der Tätigkeit mit Angabe des Beginns und des Endes der Tätigkeit,</w:t>
      </w:r>
    </w:p>
    <w:p>
      <w:pPr>
        <w:ind w:left="420"/>
      </w:pPr>
      <w:r>
        <w:t xml:space="preserve">8. Angaben über Art und Zeiten früherer Tätigkeiten, bei denen eine Gefährdung bestand, soweit dies bekannt ist,</w:t>
      </w:r>
    </w:p>
    <w:p>
      <w:pPr>
        <w:ind w:left="420"/>
      </w:pPr>
      <w:r>
        <w:t xml:space="preserve">9. Datum und Ergebnis der ärztlichen Vorsorgeuntersuchungen; die Übermittlung von Diagnosedaten an den Unternehmer ist nicht zulässig,</w:t>
      </w:r>
    </w:p>
    <w:p>
      <w:pPr>
        <w:ind w:left="420"/>
      </w:pPr>
      <w:r>
        <w:t xml:space="preserve">10. Datum der nächsten regelmäßigen Nachuntersuchung,</w:t>
      </w:r>
    </w:p>
    <w:p>
      <w:pPr>
        <w:ind w:left="420"/>
      </w:pPr>
      <w:r>
        <w:t xml:space="preserve">11. Name und Anschrift des untersuchenden Arztes.</w:t>
      </w:r>
    </w:p>
    <w:p>
      <w:r>
        <w:t xml:space="preserve">Soweit die Unfallversicherungsträger Vorschriften nach Absatz 1 Satz 2 erlassen, gelten Satz 1 sowie § 24 Abs. 1 Satz 3 und 4 entsprechend.</w:t>
      </w:r>
    </w:p>
    <w:p>
      <w:r>
        <w:t xml:space="preserve">(3) Absatz 1 Satz 1 Nr. 1 bis 5 gilt nicht für die unter bergbehördlicher Aufsicht stehenden Unternehmen.</w:t>
      </w:r>
    </w:p>
    <w:p>
      <w:r>
        <w:t xml:space="preserve">(4) Die Vorschriften nach Absatz 1 bedürfen der Genehmigung durch das Bundesministerium für Arbeit und Soziales. Die Entscheidung hierüber wird im Benehmen mit den zuständigen obersten Verwaltungsbehörden der Länder getroffen. Soweit die Vorschriften von einem Unfallversicherungsträger erlassen werden, welcher der Aufsicht eines Landes untersteht, entscheidet die zuständige oberste Landesbehörde über die Genehmigung im Benehmen mit dem Bundesministerium für Arbeit und Soziales. Die Genehmigung ist zu erteilen, wenn die Vorschriften sich im Rahmen der Ermächtigung nach Absatz 1 halten und ordnungsgemäß von der Vertreterversammlung beschlossen worden sind. Die Erfüllung der Genehmigungsvoraussetzungen nach Satz 4 ist im Antrag auf Erteilung der Genehmigung darzulegen. Dabei hat der Unfallversicherungsträger insbesondere anzugeben, dass</w:t>
      </w:r>
    </w:p>
    <w:p>
      <w:pPr>
        <w:ind w:left="420"/>
      </w:pPr>
      <w:r>
        <w:t xml:space="preserve">1. eine Regelung der in den Vorschriften vorgesehenen Maßnahmen in staatlichen Arbeitsschutzvorschriften nicht zweckmäßig ist,</w:t>
      </w:r>
    </w:p>
    <w:p>
      <w:pPr>
        <w:ind w:left="420"/>
      </w:pPr>
      <w:r>
        <w:t xml:space="preserve">2. das mit den Vorschriften angestrebte Präventionsziel ausnahmsweise nicht durch Regeln erreicht wird, die von einem gemäß § 18 Abs. 2 Nr. 5 des Arbeitsschutzgesetzes eingerichteten Ausschuss ermittelt werden, und</w:t>
      </w:r>
    </w:p>
    <w:p>
      <w:pPr>
        <w:ind w:left="420"/>
      </w:pPr>
      <w:r>
        <w:t xml:space="preserve">3. die nach Nummer 1 und 2 erforderlichen Feststellungen in einem besonderen Verfahren unter Beteiligung von Arbeitsschutzbehörden des Bundes und der Länder getroffen worden sind.</w:t>
      </w:r>
    </w:p>
    <w:p>
      <w:r>
        <w:t xml:space="preserve">Für die Angabe nach Satz 6 reicht bei Unfallverhütungsvorschriften nach Absatz 1 Satz 1 Nr. 6 ein Hinweis darauf aus, dass das Bundesministerium für Arbeit und Soziales von der Ermächtigung zum Erlass einer Rechtsverordnung nach § 14 des Gesetzes über Betriebsärzte, Sicherheitsingenieure und andere Fachkräfte für Arbeitssicherheit keinen Gebrauch macht.</w:t>
      </w:r>
    </w:p>
    <w:p>
      <w:r>
        <w:t xml:space="preserve">(5) Die Unternehmer sind über die Vorschriften nach Absatz 1 zu unterrichten und zur Unterrichtung der Versicherten verpflichtet.</w:t>
      </w:r>
    </w:p>
    <w:p>
      <w:r>
        <w:rPr>
          <w:color w:val="555555"/>
          <w:sz w:val="17"/>
        </w:rPr>
        <w:t xml:space="preserve">Zitiervorschlag: § 15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