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147 SGB 7 — Aufstellung und Änderung der Dienstordnung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Aufstellung der Dienstordnung hat der Vorstand des Unfallversicherungsträgers die Personalvertretung zu hören.</w:t>
      </w:r>
    </w:p>
    <w:p>
      <w:r>
        <w:t xml:space="preserve">(2) Die Dienstordnung bedarf der Genehmigung der Aufsichtsbehörde.</w:t>
      </w:r>
    </w:p>
    <w:p>
      <w:r>
        <w:t xml:space="preserve">(3) Wird die Genehmigung versagt und wird in der festgesetzten Frist eine andere Dienstordnung nicht aufgestellt oder wird sie nicht genehmigt, erläßt die Aufsichtsbehörde die Dienstordnung.</w:t>
      </w:r>
    </w:p>
    <w:p>
      <w:r>
        <w:t xml:space="preserve">(4) Die Absätze 1 bis 3 gelten für Änderungen der Dienstordnung entsprechend.</w:t>
      </w:r>
    </w:p>
    <w:p>
      <w:r>
        <w:rPr>
          <w:color w:val="555555"/>
          <w:sz w:val="17"/>
        </w:rPr>
        <w:t xml:space="preserve">Zitiervorschlag: § 147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https://recht.nulegal.eu/gesetze/SGB%207/147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