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SGB 7 — Zuständigkeit der Unfallversicherungsträger im kommunalen Bereich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Unfallversicherungsträger im kommunalen Bereich sind zuständig</w:t>
      </w:r>
    </w:p>
    <w:p>
      <w:pPr>
        <w:ind w:left="420"/>
      </w:pPr>
      <w:r>
        <w:t xml:space="preserve">1. für die Unternehmen der Gemeinden und Gemeindeverbände,</w:t>
      </w:r>
    </w:p>
    <w:p>
      <w:pPr>
        <w:ind w:left="420"/>
      </w:pPr>
      <w:r>
        <w:t xml:space="preserve">1a. für Unternehmen, die in selbständiger Rechtsform betrieben werden und an denen Gemeinden oder Gemeindeverbände</w:t>
      </w:r>
    </w:p>
    <w:p>
      <w:pPr>
        <w:ind w:left="780"/>
      </w:pPr>
      <w:r>
        <w:t xml:space="preserve">a) bei Kapitalgesellschaften unmittelbar oder mittelbar die Mehrheit der Kapitalanteile auf sich vereinen oder</w:t>
      </w:r>
    </w:p>
    <w:p>
      <w:pPr>
        <w:ind w:left="780"/>
      </w:pPr>
      <w:r>
        <w:t xml:space="preserve">b) bei sonstigen Unternehmen die Stimmenmehrheit in dem Organ, dem die Verwaltung und Führung des Unternehmens obliegt, auf sich vereinen,</w:t>
      </w:r>
    </w:p>
    <w:p>
      <w:pPr>
        <w:ind w:left="420"/>
      </w:pPr>
      <w:r>
        <w:t xml:space="preserve">2. für Haushalte,</w:t>
      </w:r>
    </w:p>
    <w:p>
      <w:pPr>
        <w:ind w:left="420"/>
      </w:pPr>
      <w:r>
        <w:t xml:space="preserve">3. für in Eigenarbeit nicht gewerbsmäßig ausgeführte Bauarbeiten (nicht gewerbsmäßige Bauarbeiten), wenn für die einzelne geplante Bauarbeit nicht mehr als die im Bauhauptgewerbe geltende tarifliche Wochenarbeitszeit tatsächlich verwendet wird; mehrere nicht gewerbsmäßige Bauarbeiten werden dabei zusammengerechnet, wenn sie einem einheitlichen Bauvorhaben zuzuordnen sind; Nummer 1 und die §§ 125, 128 und 131 bleiben unberührt,</w:t>
      </w:r>
    </w:p>
    <w:p>
      <w:pPr>
        <w:ind w:left="420"/>
      </w:pPr>
      <w:r>
        <w:t xml:space="preserve">4. für Personen, die nach § 2 Abs. 1 Nr. 3 versichert sind, soweit die Maßnahme von einer Gemeinde veranlaßt worden ist,</w:t>
      </w:r>
    </w:p>
    <w:p>
      <w:pPr>
        <w:ind w:left="420"/>
      </w:pPr>
      <w:r>
        <w:t xml:space="preserve">5. für Personen, die Leistungen der Träger der Sozialhilfe zur Unterstützung und Aktivierung nach § 11 Absatz 3 des Zwölften Buches erhalten,</w:t>
      </w:r>
    </w:p>
    <w:p>
      <w:pPr>
        <w:ind w:left="420"/>
      </w:pPr>
      <w:r>
        <w:t xml:space="preserve">6. für Personen, die nach § 2 Abs.1 Nr. 16 versichert sind,</w:t>
      </w:r>
    </w:p>
    <w:p>
      <w:pPr>
        <w:ind w:left="420"/>
      </w:pPr>
      <w:r>
        <w:t xml:space="preserve">7. für Pflegepersonen, die nach § 2 Abs. 1 Nr. 17 versichert sind.</w:t>
      </w:r>
    </w:p>
    <w:p>
      <w:r>
        <w:t xml:space="preserve">(2) (weggefallen)</w:t>
      </w:r>
    </w:p>
    <w:p>
      <w:r>
        <w:t xml:space="preserve">(3) (weggefallen)</w:t>
      </w:r>
    </w:p>
    <w:p>
      <w:r>
        <w:t xml:space="preserve">(4) Absatz 1 Nummer 1a gilt nicht für</w:t>
      </w:r>
    </w:p>
    <w:p>
      <w:pPr>
        <w:ind w:left="420"/>
      </w:pPr>
      <w:r>
        <w:t xml:space="preserve">1. Verkehrsunternehmen einschließlich Hafen- und Umschlagbetriebe,</w:t>
      </w:r>
    </w:p>
    <w:p>
      <w:pPr>
        <w:ind w:left="420"/>
      </w:pPr>
      <w:r>
        <w:t xml:space="preserve">2. Elektrizitäts-, Gas- und Wasserwerke sowie</w:t>
      </w:r>
    </w:p>
    <w:p>
      <w:pPr>
        <w:ind w:left="420"/>
      </w:pPr>
      <w:r>
        <w:t xml:space="preserve">3. Unternehmen, die Seefahrt betreiben.</w:t>
      </w:r>
    </w:p>
    <w:p>
      <w:r>
        <w:t xml:space="preserve">Absatz 1 Nummer 1 und 1a gilt nicht für landwirtschaftliche Unternehmen der in § 123 Absatz 1 Nummer 1, 4 und 5 genannten Art.</w:t>
      </w:r>
    </w:p>
    <w:p>
      <w:r>
        <w:rPr>
          <w:color w:val="555555"/>
          <w:sz w:val="17"/>
        </w:rPr>
        <w:t xml:space="preserve">Zitiervorschlag: § 129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