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120 SGB 7 — Bundes- und Landesgarantie</w:t>
      </w:r>
    </w:p>
    <w:p>
      <w:r>
        <w:rPr>
          <w:color w:val="555555"/>
          <w:sz w:val="18"/>
        </w:rPr>
        <w:t xml:space="preserve">Siebtes Buch Sozialgesetzbuch - Gesetzliche Unfallversicherung - (Artikel 1 des Gesetzes vom 7. August 1996, BGBl. I S. 1254)</w:t>
      </w:r>
    </w:p>
    <w:p>
      <w:r>
        <w:rPr>
          <w:color w:val="555555"/>
          <w:sz w:val="18"/>
        </w:rPr>
        <w:t xml:space="preserve">Stand: 10.06.2019 (konsolidierte Textfassung, kein amtliches Inkrafttretensdatum)</w:t>
      </w:r>
    </w:p>
    <w:p>
      <w:r>
        <w:t xml:space="preserve">Soweit durch Rechtsvorschriften des Bundes oder der Länder nicht etwas anderes bestimmt worden ist, gehen mit der Auflösung eines bundesunmittelbaren Unfallversicherungsträgers dessen Rechte und Pflichten auf den Bund und mit der Auflösung eines landesunmittelbaren Unfallversicherungsträgers dessen Rechte und Pflichten auf das aufsichtführende Land über.</w:t>
      </w:r>
    </w:p>
    <w:p>
      <w:r>
        <w:rPr>
          <w:color w:val="555555"/>
          <w:sz w:val="17"/>
        </w:rPr>
        <w:t xml:space="preserve">Zitiervorschlag: § 120 SGB 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https://recht.nulegal.eu/gesetze/SGB%207/120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120 SGB 7</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