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SGB 7 — Unfallversicherungsträger im kommunalen Bereich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 Unfallversicherung im kommunalen Bereich nicht von einer gemeinsamen Unfallkasse für den Landes- und den kommunalen Bereich durchgeführt wird, errichten die Landesregierungen durch Rechtsverordnung für mehrere Gemeinden von zusammen wenigstens 500 000 Einwohnern einen Gemeindeunfallversicherungsverband.</w:t>
      </w:r>
    </w:p>
    <w:p>
      <w:r>
        <w:t xml:space="preserve">(2) Die Landesregierungen von höchstens drei Ländern können durch gleichlautende Rechtsverordnungen auch einen gemeinsamen Gemeindeunfallversicherungsverband entsprechend Absatz 1 errichten, wenn das aufsichtführende Land durch die beteiligten Länder in diesen Rechtsverordnungen oder durch Staatsvertrag der Länder bestimmt ist. § 116 Abs. 3 gilt entsprechend.</w:t>
      </w:r>
    </w:p>
    <w:p>
      <w:r>
        <w:t xml:space="preserve">(3) Die Landesregierungen können durch Rechtsverordnung mehrere Feuerwehr-Unfallkassen oder die Feuerwehr-Unfallkassen mit den Unfallversicherungsträgern im Landesbereich und im kommunalen Bereich vereinigen. Für die Feuerwehr-Unfallkassen sind die für die Gemeindeunfallversicherungsverbände geltenden Vorschriften entsprechend anzuwenden. Die beteiligten Gemeinden und Gemeindeverbände gelten als Unternehmer. Die Landesregierungen von höchstens drei Ländern können durch gleichlautende Rechtsverordnungen mehrere Feuerwehr-Unfallkassen zu einer Feuerwehr-Unfallkasse vereinigen, wenn das aufsichtführende Land in diesen Rechtsverordnungen oder durch Staatsvertrag der Länder bestimmt ist. § 118 Abs. 1 Satz 3, 5 bis 7 gilt entsprechend.</w:t>
      </w:r>
    </w:p>
    <w:p>
      <w:r>
        <w:t xml:space="preserve">(4) Die Landesregierungen können durch Rechtsverordnung die Unfallkassen der Gemeinden mit den Unfallversicherungsträgern im kommunalen Bereich vereinigen.</w:t>
      </w:r>
    </w:p>
    <w:p>
      <w:r>
        <w:t xml:space="preserve">(5) Bei Vereinigungen nach den Absätzen 3 und 4 gilt § 116 Absatz 3 Satz 6 bis 8 entsprechend.</w:t>
      </w:r>
    </w:p>
    <w:p>
      <w:r>
        <w:rPr>
          <w:color w:val="555555"/>
          <w:sz w:val="17"/>
        </w:rPr>
        <w:t xml:space="preserve">Zitiervorschlag: § 117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