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113 SGB 7 — Verjährung</w:t>
      </w:r>
    </w:p>
    <w:p>
      <w:r>
        <w:rPr>
          <w:color w:val="555555"/>
          <w:sz w:val="18"/>
        </w:rPr>
        <w:t xml:space="preserve">Siebtes Buch Sozialgesetzbuch - Gesetzliche Unfallversicherung - (Artikel 1 des Gesetzes vom 7. August 1996, BGBl. I S. 1254)</w:t>
      </w:r>
    </w:p>
    <w:p>
      <w:r>
        <w:rPr>
          <w:color w:val="555555"/>
          <w:sz w:val="18"/>
        </w:rPr>
        <w:t xml:space="preserve">Stand: 10.06.2019 (konsolidierte Textfassung, kein amtliches Inkrafttretensdatum)</w:t>
      </w:r>
    </w:p>
    <w:p>
      <w:r>
        <w:t xml:space="preserve">Für die Verjährung der Ansprüche nach den §§ 110 und 111 gelten die §§ 195, 199 Abs. 1 und 2 und § 203 des Bürgerlichen Gesetzbuchs entsprechend mit der Maßgabe, daß die Frist von dem Tag an gerechnet wird, an dem die Leistungspflicht für den Unfallversicherungsträger bindend festgestellt oder ein entsprechendes Urteil rechtskräftig geworden ist. Artikel 229 § 6 Abs. 1 des Einführungsgesetzes zum Bürgerlichen Gesetzbuche gilt entsprechend.</w:t>
      </w:r>
    </w:p>
    <w:p>
      <w:r>
        <w:rPr>
          <w:color w:val="555555"/>
          <w:sz w:val="17"/>
        </w:rPr>
        <w:t xml:space="preserve">Zitiervorschlag: § 113 SGB 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https://recht.nulegal.eu/gesetze/SGB%207/113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