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110 SGB 7 — Haftung gegenüber den Sozialversicherungsträgern</w:t>
      </w:r>
    </w:p>
    <w:p>
      <w:r>
        <w:rPr>
          <w:color w:val="555555"/>
          <w:sz w:val="18"/>
        </w:rPr>
        <w:t xml:space="preserve">Siebtes Buch Sozialgesetzbuch - Gesetzliche Unfallversicherung - (Artikel 1 des Gesetzes vom 7. August 1996, BGBl. I S. 1254)</w:t>
      </w:r>
    </w:p>
    <w:p>
      <w:r>
        <w:rPr>
          <w:color w:val="555555"/>
          <w:sz w:val="18"/>
        </w:rPr>
        <w:t xml:space="preserve">Stand: 10.06.2019 (konsolidierte Textfassung, kein amtliches Inkrafttretensdatum)</w:t>
      </w:r>
    </w:p>
    <w:p>
      <w:r>
        <w:t xml:space="preserve">(1) Haben Personen, deren Haftung nach den §§ 104 bis 107 beschränkt ist, den Versicherungsfall vorsätzlich oder grob fahrlässig herbeigeführt, haften sie den Sozialversicherungsträgern für die infolge des Versicherungsfalls entstandenen Aufwendungen, jedoch nur bis zur Höhe des zivilrechtlichen Schadenersatzanspruchs. Statt der Rente kann der Kapitalwert gefordert werden. Das Verschulden braucht sich nur auf das den Versicherungsfall verursachende Handeln oder Unterlassen zu beziehen.</w:t>
      </w:r>
    </w:p>
    <w:p>
      <w:r>
        <w:t xml:space="preserve">(1a) Unternehmer, die Schwarzarbeit nach § 1 des Schwarzarbeitsbekämpfungsgesetzes erbringen und dadurch bewirken, dass Beiträge nach dem Sechsten Kapitel nicht, nicht in der richtigen Höhe oder nicht rechtzeitig entrichtet werden, erstatten den Unfallversicherungsträgern die Aufwendungen, die diesen infolge von Versicherungsfällen bei Ausführung der Schwarzarbeit entstanden sind. Eine nicht ordnungsgemäße Beitragsentrichtung wird vermutet, wenn die Unternehmer die Personen, bei denen die Versicherungsfälle eingetreten sind, nicht nach § 28a des Vierten Buches bei der Einzugsstelle oder der Datenstelle der Rentenversicherung angemeldet hatten.</w:t>
      </w:r>
    </w:p>
    <w:p>
      <w:r>
        <w:t xml:space="preserve">(2) Die Sozialversicherungsträger können nach billigem Ermessen, insbesondere unter Berücksichtigung der wirtschaftlichen Verhältnisse des Schuldners, auf den Ersatzanspruch ganz oder teilweise verzichten.</w:t>
      </w:r>
    </w:p>
    <w:p>
      <w:r>
        <w:rPr>
          <w:color w:val="555555"/>
          <w:sz w:val="17"/>
        </w:rPr>
        <w:t xml:space="preserve">Zitiervorschlag: § 110 SGB 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https://recht.nulegal.eu/gesetze/SGB%207/110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