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SGB 7 — Beschränkung der Haftung der Unternehmer</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Unternehmer sind den Versicherten, die für ihre Unternehmen tätig sind oder zu ihren Unternehmen in einer sonstigen die Versicherung begründenden Beziehung stehen, sowie deren Angehörigen und Hinterbliebenen nach anderen gesetzlichen Vorschriften zum Ersatz des Personenschadens, den ein Versicherungsfall verursacht hat, nur verpflichtet, wenn sie den Versicherungsfall vorsätzlich oder auf einem nach § 8 Abs. 2 Nr. 1 bis 4 versicherten Weg herbeigeführt haben. Ein Forderungsübergang nach § 116 des Zehnten Buches findet nicht statt.</w:t>
      </w:r>
    </w:p>
    <w:p>
      <w:r>
        <w:t xml:space="preserve">(2) Absatz 1 gilt entsprechend für Personen, die als Leibesfrucht durch einen Versicherungsfall im Sinne des § 12 geschädigt worden sind.</w:t>
      </w:r>
    </w:p>
    <w:p>
      <w:r>
        <w:t xml:space="preserve">(3) Die nach Absatz 1 oder 2 verbleibenden Ersatzansprüche vermindern sich um die Leistungen, die Berechtigte nach Gesetz oder Satzung infolge des Versicherungsfalls erhalten.</w:t>
      </w:r>
    </w:p>
    <w:p>
      <w:r>
        <w:rPr>
          <w:color w:val="555555"/>
          <w:sz w:val="17"/>
        </w:rPr>
        <w:t xml:space="preserve">Zitiervorschlag: § 104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