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 SGB 6 — Persönliche Entgeltpunkte bei Folgerenten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01.01.2021 (konsolidierte Textfassung, kein amtliches Inkrafttretensdatum)</w:t>
      </w:r>
    </w:p>
    <w:p>
      <w:r>
        <w:t xml:space="preserve">(1) Hat ein Versicherter eine Rente wegen Alters bezogen, werden ihm für eine spätere Rente mindestens die bisherigen persönlichen Entgeltpunkte zugrunde gelegt. Hat ein Versicherter eine Rente wegen verminderter Erwerbsfähigkeit oder eine Erziehungsrente bezogen und beginnt spätestens innerhalb von 24 Kalendermonaten nach Ende des Bezugs dieser Rente erneut eine Rente, werden ihm für diese Rente mindestens die bisherigen persönlichen Entgeltpunkte zugrunde gelegt. Satz 2 gilt bei Renten für Bergleute nur, wenn ihnen eine Rente für Bergleute vorausgegangen ist.</w:t>
      </w:r>
    </w:p>
    <w:p>
      <w:r>
        <w:t xml:space="preserve">(2) Hat der verstorbene Versicherte eine Rente aus eigener Versicherung bezogen und beginnt spätestens innerhalb von 24 Kalendermonaten nach Ende des Bezugs dieser Rente eine Hinterbliebenenrente, werden ihr mindestens die bisherigen persönlichen Entgeltpunkte des verstorbenen Versicherten zugrunde gelegt. Haben eine Witwe, ein Witwer oder eine Waise eine Hinterbliebenenrente bezogen und beginnt spätestens innerhalb von 24 Kalendermonaten nach Ende des Bezugs dieser Rente erneut eine solche Rente, werden ihr mindestens die bisherigen persönlichen Entgeltpunkte zugrunde gelegt.</w:t>
      </w:r>
    </w:p>
    <w:p>
      <w:r>
        <w:t xml:space="preserve">(3) Haben Beiträge nach Beginn einer Rente wegen Alters noch nicht zu Zuschlägen an Entgeltpunkten geführt, werden bei der Folgerente zusätzlich zu den bisherigen persönlichen Entgeltpunkten auch persönliche Entgeltpunkte aus Zuschlägen an Entgeltpunkten aus Beiträgen nach Beginn der Rente wegen Alters zugrunde gelegt.</w:t>
      </w:r>
    </w:p>
    <w:p>
      <w:r>
        <w:t xml:space="preserve">(4) Wird die Rente unter Anwendung der Absätze 1 bis 3 berechnet, entfällt auf den Zuschlag an Entgeltpunkten für langjährige Versicherung der Anteil an persönlichen Entgeltpunkten, der in der Rente enthalten war, aus der sich der Besitzschutz an persönlichen Entgeltpunkten ergab.</w:t>
      </w:r>
    </w:p>
    <w:p>
      <w:r>
        <w:rPr>
          <w:color w:val="555555"/>
          <w:sz w:val="17"/>
        </w:rPr>
        <w:t xml:space="preserve">Zitiervorschlag: § 88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