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SGB 6 — Witwenrente und Witwerrente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Witwen oder Witwer, die nicht wieder geheiratet haben, haben nach dem Tod des versicherten Ehegatten Anspruch auf kleine Witwenrente oder kleine Witwerrente, wenn der versicherte Ehegatte die allgemeine Wartezeit erfüllt hat. Der Anspruch besteht längstens für 24 Kalendermonate nach Ablauf des Monats, in dem der Versicherte verstorben ist.</w:t>
      </w:r>
    </w:p>
    <w:p>
      <w:r>
        <w:t xml:space="preserve">(2) Witwen oder Witwer, die nicht wieder geheiratet haben, haben nach dem Tod des versicherten Ehegatten, der die allgemeine Wartezeit erfüllt hat, Anspruch auf große Witwenrente oder große Witwerrente, wenn sie</w:t>
      </w:r>
    </w:p>
    <w:p>
      <w:pPr>
        <w:ind w:left="420"/>
      </w:pPr>
      <w:r>
        <w:t xml:space="preserve">1. ein eigenes Kind oder ein Kind des versicherten Ehegatten, das das 18. Lebensjahr noch nicht vollendet hat, erziehen,</w:t>
      </w:r>
    </w:p>
    <w:p>
      <w:pPr>
        <w:ind w:left="420"/>
      </w:pPr>
      <w:r>
        <w:t xml:space="preserve">2. das 47. Lebensjahr vollendet haben oder</w:t>
      </w:r>
    </w:p>
    <w:p>
      <w:pPr>
        <w:ind w:left="420"/>
      </w:pPr>
      <w:r>
        <w:t xml:space="preserve">3. erwerbsgemindert sind.</w:t>
      </w:r>
    </w:p>
    <w:p>
      <w:r>
        <w:t xml:space="preserve">Als Kinder werden auch berücksichtigt:</w:t>
      </w:r>
    </w:p>
    <w:p>
      <w:pPr>
        <w:ind w:left="420"/>
      </w:pPr>
      <w:r>
        <w:t xml:space="preserve">1. Stiefkinder und Pflegekinder (§ 56 Abs. 2 Nr. 1 und 2 Erstes Buch), die in den Haushalt der Witwe oder des Witwers aufgenommen sind,</w:t>
      </w:r>
    </w:p>
    <w:p>
      <w:pPr>
        <w:ind w:left="420"/>
      </w:pPr>
      <w:r>
        <w:t xml:space="preserve">2. Enkel und Geschwister, die in den Haushalt der Witwe oder des Witwers aufgenommen sind oder von diesen überwiegend unterhalten werden.</w:t>
      </w:r>
    </w:p>
    <w:p>
      <w:r>
        <w:t xml:space="preserve">Der Erziehung steht die in häuslicher Gemeinschaft ausgeübte Sorge für ein eigenes Kind oder ein Kind des versicherten Ehegatten, das wegen körperlicher, geistiger oder seelischer Behinderung außerstande ist, sich selbst zu unterhalten, auch nach dessen vollendetem 18. Lebensjahr gleich.</w:t>
      </w:r>
    </w:p>
    <w:p>
      <w:r>
        <w:t xml:space="preserve">(2a) Witwen oder Witwer haben keinen Anspruch auf Witwenrente oder Witwerrente, wenn die Ehe nicht mindestens ein Jahr gedauert hat, es sei denn, dass nach den besonderen Umständen des Falles die Annahme nicht gerechtfertigt ist, dass es der alleinige oder überwiegende Zweck der Heirat war, einen Anspruch auf Hinterbliebenenversorgung zu begründen.</w:t>
      </w:r>
    </w:p>
    <w:p>
      <w:r>
        <w:t xml:space="preserve">(2b) Ein Anspruch auf Witwenrente oder Witwerrente besteht auch nicht von dem Kalendermonat an, zu dessen Beginn das Rentensplitting durchgeführt ist. Der Rentenbescheid über die Bewilligung der Witwenrente oder Witwerrente ist mit Wirkung von diesem Zeitpunkt an aufzuheben; die §§ 24 und 48 des Zehnten Buches sind nicht anzuwenden.</w:t>
      </w:r>
    </w:p>
    <w:p>
      <w:r>
        <w:t xml:space="preserve">(3) Überlebende Ehegatten, die wieder geheiratet haben, haben unter den sonstigen Voraussetzungen der Absätze 1 bis 2b Anspruch auf kleine oder große Witwenrente oder Witwerrente, wenn die erneute Ehe aufgelöst oder für nichtig erklärt ist (Witwenrente oder Witwerrente nach dem vorletzten Ehegatten).</w:t>
      </w:r>
    </w:p>
    <w:p>
      <w:r>
        <w:t xml:space="preserve">(4) Für einen Anspruch auf Witwenrente oder Witwerrente gelten als Heirat auch die Begründung einer Lebenspartnerschaft, als Ehe auch eine Lebenspartnerschaft, als Witwe und Witwer auch ein überlebender Lebenspartner und als Ehegatte auch ein Lebenspartner. Der Auflösung oder Nichtigkeit einer erneuten Ehe entspricht die Aufhebung oder Auflösung einer erneuten Lebenspartnerschaft.</w:t>
      </w:r>
    </w:p>
    <w:p>
      <w:r>
        <w:rPr>
          <w:color w:val="555555"/>
          <w:sz w:val="17"/>
        </w:rPr>
        <w:t xml:space="preserve">Zitiervorschlag: § 46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