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SGB 6 — Altersrente und Ende des Arbeitsverhältnisses</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01.01.2026 (konsolidierte Textfassung, kein amtliches Inkrafttretensdatum)</w:t>
      </w:r>
    </w:p>
    <w:p>
      <w:r>
        <w:t xml:space="preserve">(1) Der Anspruch des Versicherten auf eine Rente wegen Alters ist nicht als ein Grund anzusehen, der die Kündigung eines Arbeitsverhältnisses durch den Arbeitgeber nach dem Kündigungsschutzgesetz bedingen kann. Eine Vereinbarung, die die Beendigung des Arbeitsverhältnisses eines Arbeitnehmers ohne Kündigung zu einem Zeitpunkt vorsieht, zu dem der Arbeitnehmer vor Erreichen der Regelaltersgrenze eine Rente wegen Alters beantragen kann, gilt dem Arbeitnehmer gegenüber als auf das Erreichen der Regelaltersgrenze abgeschlossen, es sei denn, dass die Vereinbarung innerhalb der letzten drei Jahre vor diesem Zeitpunkt abgeschlossen oder von dem Arbeitnehmer innerhalb der letzten drei Jahre vor diesem Zeitpunkt bestätigt worden ist. Sieht eine Vereinbarung die Beendigung des Arbeitsverhältnisses mit dem Erreichen der Regelaltersgrenze vor, können die Arbeitsvertragsparteien durch Vereinbarung während des Arbeitsverhältnisses den Beendigungszeitpunkt, gegebenenfalls auch mehrfach, hinausschieben.</w:t>
      </w:r>
    </w:p>
    <w:p>
      <w:r>
        <w:t xml:space="preserve">(2) § 14 Absatz 2 Satz 2 des Teilzeit- und Befristungsgesetzes gilt nicht für Arbeitnehmer, die die Regelaltersgrenze erreicht haben, wenn mit befristeten Arbeitsverhältnissen nach § 14 Absatz 2 Satz 1 des Teilzeit- und Befristungsgesetzes bei demselben Arbeitgeber</w:t>
      </w:r>
    </w:p>
    <w:p>
      <w:pPr>
        <w:ind w:left="420"/>
      </w:pPr>
      <w:r>
        <w:t xml:space="preserve">1. die Voraussetzungen des § 14 Absatz 2 Satz 1 des Teilzeit- und Befristungsgesetzes eingehalten werden und</w:t>
      </w:r>
    </w:p>
    <w:p>
      <w:pPr>
        <w:ind w:left="420"/>
      </w:pPr>
      <w:r>
        <w:t xml:space="preserve">2. keine der folgenden Grenzen überschritten wird:</w:t>
      </w:r>
    </w:p>
    <w:p>
      <w:pPr>
        <w:ind w:left="780"/>
      </w:pPr>
      <w:r>
        <w:t xml:space="preserve">a) eine Höchstdauer von insgesamt acht Jahren und</w:t>
      </w:r>
    </w:p>
    <w:p>
      <w:pPr>
        <w:ind w:left="780"/>
      </w:pPr>
      <w:r>
        <w:t xml:space="preserve">b) die Anzahl von zwölf befristeten Arbeitsverträgen.</w:t>
      </w:r>
    </w:p>
    <w:p>
      <w:r>
        <w:t xml:space="preserve">§ 14 Absatz 2 Satz 3 und 4 des Teilzeit- und Befristungsgesetzes bleibt unberührt.</w:t>
      </w:r>
    </w:p>
    <w:p>
      <w:r>
        <w:t xml:space="preserve">(3) Eine Vereinbarung, die die Beendigung des Arbeitsverhältnisses mit dem Erreichen der Regelaltersgrenze vorsieht, bedarf zu ihrer Wirksamkeit der Textform. § 14 Absatz 4 des Teilzeit- und Befristungsgesetzes gilt nicht.</w:t>
      </w:r>
    </w:p>
    <w:p>
      <w:r>
        <w:rPr>
          <w:color w:val="555555"/>
          <w:sz w:val="17"/>
        </w:rPr>
        <w:t xml:space="preserve">Zitiervorschlag: § 41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