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321 SGB 6 — Zusammenarbeit zur Verfolgung und Ahndung von Ordnungswidrigkeiten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31.12.2025 (konsolidierte Textfassung, kein amtliches Inkrafttretensdatum)</w:t>
      </w:r>
    </w:p>
    <w:p>
      <w:r>
        <w:t xml:space="preserve">Zur Verfolgung und Ahndung von Ordnungswidrigkeiten arbeiten die Rentenversicherungsträger im Rahmen der Prüfung bei den Arbeitgebern nach § 28p des Vierten Buches insbesondere mit der Bundesagentur für Arbeit, den Krankenkassen, den Behörden der Zollverwaltung, den in § 71 des Aufenthaltsgesetzes genannten Behörden, den Finanzbehörden, den nach Landesrecht für die Verfolgung und Ahndung von Ordnungswidrigkeiten nach dem Schwarzarbeitsbekämpfungsgesetz zuständigen Behörden, den Trägern der Sozialhilfe, den Unfallversicherungsträgern und den für den Arbeitsschutz zuständigen Landesbehörden zusammen, wenn sich im Einzelfall konkrete Anhaltspunkte für</w:t>
      </w:r>
    </w:p>
    <w:p>
      <w:pPr>
        <w:ind w:left="420"/>
      </w:pPr>
      <w:r>
        <w:t xml:space="preserve">1. Verstöße gegen das Schwarzarbeitsbekämpfungsgesetz,</w:t>
      </w:r>
    </w:p>
    <w:p>
      <w:pPr>
        <w:ind w:left="420"/>
      </w:pPr>
      <w:r>
        <w:t xml:space="preserve">2. eine Beschäftigung oder Tätigkeit von Ausländern ohne den erforderlichen Aufenthaltstitel nach § 4a Absatz 5 Satz 1 des Aufenthaltsgesetzes, eine Erlaubnis oder Berechtigung nach § 4a Absatz 5 Satz 2 in Verbindung mit Absatz 4 des Aufenthaltsgesetzes, eine Aufenthaltsgestattung oder eine Duldung, die zur Ausübung der Beschäftigung berechtigen, oder eine Genehmigung nach § 284 Absatz 1 des Dritten Buches,</w:t>
      </w:r>
    </w:p>
    <w:p>
      <w:pPr>
        <w:ind w:left="420"/>
      </w:pPr>
      <w:r>
        <w:t xml:space="preserve">3. Verstöße gegen die Mitwirkungspflicht nach § 60 Abs. 1 Satz 1 Nr. 2 des Ersten Buches gegenüber einer Dienststelle der Bundesagentur für Arbeit, einem Träger der gesetzlichen Kranken-, Pflege- oder Unfallversicherung oder einem Träger der Sozialhilfe oder gegen die Meldepflicht nach § 8a des Asylbewerberleistungsgesetzes,</w:t>
      </w:r>
    </w:p>
    <w:p>
      <w:pPr>
        <w:ind w:left="420"/>
      </w:pPr>
      <w:r>
        <w:t xml:space="preserve">4. Verstöße gegen das Arbeitnehmerüberlassungsgesetz,</w:t>
      </w:r>
    </w:p>
    <w:p>
      <w:pPr>
        <w:ind w:left="420"/>
      </w:pPr>
      <w:r>
        <w:t xml:space="preserve">5. Verstöße gegen die Bestimmungen des Vierten, Fünften und Siebten Buches sowie dieses Buches über die Verpflichtung zur Zahlung von Sozialversicherungsbeiträgen, soweit sie im Zusammenhang mit den in den Nummern 1 bis 4 genannten Verstößen stehen,</w:t>
      </w:r>
    </w:p>
    <w:p>
      <w:pPr>
        <w:ind w:left="420"/>
      </w:pPr>
      <w:r>
        <w:t xml:space="preserve">6. Verstöße gegen die Steuergesetze,</w:t>
      </w:r>
    </w:p>
    <w:p>
      <w:pPr>
        <w:ind w:left="420"/>
      </w:pPr>
      <w:r>
        <w:t xml:space="preserve">7. Verstöße gegen das Aufenthaltsgesetz,</w:t>
      </w:r>
    </w:p>
    <w:p>
      <w:pPr>
        <w:ind w:left="420"/>
      </w:pPr>
      <w:r>
        <w:t xml:space="preserve">8. Verstöße gegen das Gesetz zur Sicherung von Arbeitnehmerrechten in der Fleischwirtschaft,</w:t>
      </w:r>
    </w:p>
    <w:p>
      <w:pPr>
        <w:ind w:left="420"/>
      </w:pPr>
      <w:r>
        <w:t xml:space="preserve">9. Verstöße gegen das Mindestlohngesetz,</w:t>
      </w:r>
    </w:p>
    <w:p>
      <w:pPr>
        <w:ind w:left="420"/>
      </w:pPr>
      <w:r>
        <w:t xml:space="preserve">10. Verstöße gegen das Arbeitnehmer-Entsendegesetz</w:t>
      </w:r>
    </w:p>
    <w:p>
      <w:r>
        <w:t xml:space="preserve">ergeben. Sie unterrichten die für die Verfolgung und Ahndung zuständigen Behörden, die Träger der Sozialhilfe sowie die Behörden nach § 71 des Aufenthaltsgesetzes. Die Unterrichtung kann auch Angaben über die Tatsachen enthalten, die für die Abgabe der Meldungen des Arbeitgebers und die Einziehung der Beiträge zur Sozialversicherung erforderlich sind.</w:t>
      </w:r>
    </w:p>
    <w:p>
      <w:r>
        <w:rPr>
          <w:color w:val="555555"/>
          <w:sz w:val="17"/>
        </w:rPr>
        <w:t xml:space="preserve">Zitiervorschlag: § 321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