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271 SGB 6 — Höhe der Rente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Bundesgebiets-Beitragszeiten sind auch Zeiten, für die nach den vor dem 9. Mai 1945 geltenden Reichsversicherungsgesetzen</w:t>
      </w:r>
    </w:p>
    <w:p>
      <w:pPr>
        <w:ind w:left="420"/>
      </w:pPr>
      <w:r>
        <w:t xml:space="preserve">1. Pflichtbeiträge für eine Beschäftigung oder selbständige Tätigkeit im Inland oder</w:t>
      </w:r>
    </w:p>
    <w:p>
      <w:pPr>
        <w:ind w:left="420"/>
      </w:pPr>
      <w:r>
        <w:t xml:space="preserve">2. freiwillige Beiträge für die Zeit des gewöhnlichen Aufenthalts im Inland oder außerhalb des jeweiligen Geltungsbereichs der Reichsversicherungsgesetze</w:t>
      </w:r>
    </w:p>
    <w:p>
      <w:r>
        <w:t xml:space="preserve">gezahlt worden sind. Kindererziehungszeiten sind Bundesgebiets-Beitragszeiten, wenn die Erziehung des Kindes im Gebiet der Bundesrepublik Deutschland erfolgt ist.</w:t>
      </w:r>
    </w:p>
    <w:p>
      <w:r>
        <w:rPr>
          <w:color w:val="555555"/>
          <w:sz w:val="17"/>
        </w:rPr>
        <w:t xml:space="preserve">Zitiervorschlag: § 271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