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264d SGB 6 — Zugangsfaktor</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Beginnt eine Rente wegen verminderter Erwerbsfähigkeit vor dem 1. Januar 2024 oder ist bei einer Rente wegen Todes der Versicherte vor dem 1. Januar 2024 verstorben, ist bei der Ermittlung des Zugangsfaktors anstelle der Vollendung des 65. Lebensjahres und des 62. Lebensjahres jeweils das in der nachfolgenden Tabelle aufgeführte Lebensalter maßgebend:</w:t>
      </w:r>
    </w:p>
    <w:p>
      <w:r>
        <w:rPr>
          <w:rFonts w:ascii="Courier New" w:hAnsi="Courier New"/>
          <w:sz w:val="17"/>
        </w:rPr>
        <w:t xml:space="preserve">Bei Beginn der Rente oder bei Tod des Versicherten im    tritt an die Stelle des Lebensalters</w:t>
      </w:r>
    </w:p>
    <w:p>
      <w:r>
        <w:rPr>
          <w:rFonts w:ascii="Courier New" w:hAnsi="Courier New"/>
          <w:sz w:val="17"/>
        </w:rPr>
        <w:t xml:space="preserve">65 Jahre das Lebensalter    62 Jahre das Lebensalter</w:t>
      </w:r>
    </w:p>
    <w:p>
      <w:r>
        <w:rPr>
          <w:rFonts w:ascii="Courier New" w:hAnsi="Courier New"/>
          <w:sz w:val="17"/>
        </w:rPr>
        <w:t xml:space="preserve">Jahr    Monat    Jahre    Monate    Jahre    Monate</w:t>
      </w:r>
    </w:p>
    <w:p>
      <w:r>
        <w:rPr>
          <w:rFonts w:ascii="Courier New" w:hAnsi="Courier New"/>
          <w:sz w:val="17"/>
        </w:rPr>
        <w:t xml:space="preserve">vor 2012        63    0    60    0</w:t>
      </w:r>
    </w:p>
    <w:p>
      <w:r>
        <w:rPr>
          <w:rFonts w:ascii="Courier New" w:hAnsi="Courier New"/>
          <w:sz w:val="17"/>
        </w:rPr>
        <w:t xml:space="preserve">2012    Januar    63    1    60    1</w:t>
      </w:r>
    </w:p>
    <w:p>
      <w:r>
        <w:rPr>
          <w:rFonts w:ascii="Courier New" w:hAnsi="Courier New"/>
          <w:sz w:val="17"/>
        </w:rPr>
        <w:t xml:space="preserve">2012    Februar    63    2    60    2</w:t>
      </w:r>
    </w:p>
    <w:p>
      <w:r>
        <w:rPr>
          <w:rFonts w:ascii="Courier New" w:hAnsi="Courier New"/>
          <w:sz w:val="17"/>
        </w:rPr>
        <w:t xml:space="preserve">2012    März    63    3    60    3</w:t>
      </w:r>
    </w:p>
    <w:p>
      <w:r>
        <w:rPr>
          <w:rFonts w:ascii="Courier New" w:hAnsi="Courier New"/>
          <w:sz w:val="17"/>
        </w:rPr>
        <w:t xml:space="preserve">2012    April    63    4    60    4</w:t>
      </w:r>
    </w:p>
    <w:p>
      <w:r>
        <w:rPr>
          <w:rFonts w:ascii="Courier New" w:hAnsi="Courier New"/>
          <w:sz w:val="17"/>
        </w:rPr>
        <w:t xml:space="preserve">2012    Mai    63    5    60    5</w:t>
      </w:r>
    </w:p>
    <w:p>
      <w:r>
        <w:rPr>
          <w:rFonts w:ascii="Courier New" w:hAnsi="Courier New"/>
          <w:sz w:val="17"/>
        </w:rPr>
        <w:t xml:space="preserve">2012    Juni – Dezember    63    6    60    6</w:t>
      </w:r>
    </w:p>
    <w:p>
      <w:r>
        <w:rPr>
          <w:rFonts w:ascii="Courier New" w:hAnsi="Courier New"/>
          <w:sz w:val="17"/>
        </w:rPr>
        <w:t xml:space="preserve">2013        63    7    60    7</w:t>
      </w:r>
    </w:p>
    <w:p>
      <w:r>
        <w:rPr>
          <w:rFonts w:ascii="Courier New" w:hAnsi="Courier New"/>
          <w:sz w:val="17"/>
        </w:rPr>
        <w:t xml:space="preserve">2014        63    8    60    8</w:t>
      </w:r>
    </w:p>
    <w:p>
      <w:r>
        <w:rPr>
          <w:rFonts w:ascii="Courier New" w:hAnsi="Courier New"/>
          <w:sz w:val="17"/>
        </w:rPr>
        <w:t xml:space="preserve">2015        63    9    60    9</w:t>
      </w:r>
    </w:p>
    <w:p>
      <w:r>
        <w:rPr>
          <w:rFonts w:ascii="Courier New" w:hAnsi="Courier New"/>
          <w:sz w:val="17"/>
        </w:rPr>
        <w:t xml:space="preserve">2016        63    10    60    10</w:t>
      </w:r>
    </w:p>
    <w:p>
      <w:r>
        <w:rPr>
          <w:rFonts w:ascii="Courier New" w:hAnsi="Courier New"/>
          <w:sz w:val="17"/>
        </w:rPr>
        <w:t xml:space="preserve">2017        63    11    60    11</w:t>
      </w:r>
    </w:p>
    <w:p>
      <w:r>
        <w:rPr>
          <w:rFonts w:ascii="Courier New" w:hAnsi="Courier New"/>
          <w:sz w:val="17"/>
        </w:rPr>
        <w:t xml:space="preserve">2018        64    0    61    0</w:t>
      </w:r>
    </w:p>
    <w:p>
      <w:r>
        <w:rPr>
          <w:rFonts w:ascii="Courier New" w:hAnsi="Courier New"/>
          <w:sz w:val="17"/>
        </w:rPr>
        <w:t xml:space="preserve">2019        64    2    61    2</w:t>
      </w:r>
    </w:p>
    <w:p>
      <w:r>
        <w:rPr>
          <w:rFonts w:ascii="Courier New" w:hAnsi="Courier New"/>
          <w:sz w:val="17"/>
        </w:rPr>
        <w:t xml:space="preserve">2020        64    4    61    4</w:t>
      </w:r>
    </w:p>
    <w:p>
      <w:r>
        <w:rPr>
          <w:rFonts w:ascii="Courier New" w:hAnsi="Courier New"/>
          <w:sz w:val="17"/>
        </w:rPr>
        <w:t xml:space="preserve">2021        64    6    61    6</w:t>
      </w:r>
    </w:p>
    <w:p>
      <w:r>
        <w:rPr>
          <w:rFonts w:ascii="Courier New" w:hAnsi="Courier New"/>
          <w:sz w:val="17"/>
        </w:rPr>
        <w:t xml:space="preserve">2022        64    8    61    8</w:t>
      </w:r>
    </w:p>
    <w:p>
      <w:r>
        <w:rPr>
          <w:rFonts w:ascii="Courier New" w:hAnsi="Courier New"/>
          <w:sz w:val="17"/>
        </w:rPr>
        <w:t xml:space="preserve">2023        64    10    61    10.</w:t>
      </w:r>
    </w:p>
    <w:p>
      <w:r>
        <w:t xml:space="preserve">§ 77 Abs. 4 ist mit der Maßgabe anzuwenden, dass an die Stelle von 40 Jahren 35 Jahre treten.</w:t>
      </w:r>
    </w:p>
    <w:p>
      <w:r>
        <w:rPr>
          <w:color w:val="555555"/>
          <w:sz w:val="17"/>
        </w:rPr>
        <w:t xml:space="preserve">Zitiervorschlag: § 264d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https://recht.nulegal.eu/gesetze/SGB%206/264d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