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237a SGB 6 — Altersrente für Frauen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Versicherte Frauen haben Anspruch auf Altersrente, wenn sie</w:t>
      </w:r>
    </w:p>
    <w:p>
      <w:pPr>
        <w:ind w:left="420"/>
      </w:pPr>
      <w:r>
        <w:t xml:space="preserve">1. vor dem 1. Januar 1952 geboren sind,</w:t>
      </w:r>
    </w:p>
    <w:p>
      <w:pPr>
        <w:ind w:left="420"/>
      </w:pPr>
      <w:r>
        <w:t xml:space="preserve">2. das 60. Lebensjahr vollendet,</w:t>
      </w:r>
    </w:p>
    <w:p>
      <w:pPr>
        <w:ind w:left="420"/>
      </w:pPr>
      <w:r>
        <w:t xml:space="preserve">3. nach Vollendung des 40. Lebensjahres mehr als zehn Jahre Pflichtbeiträge für eine versicherte Beschäftigung oder Tätigkeit und</w:t>
      </w:r>
    </w:p>
    <w:p>
      <w:pPr>
        <w:ind w:left="420"/>
      </w:pPr>
      <w:r>
        <w:t xml:space="preserve">4. die Wartezeit von 15 Jahren erfüllt</w:t>
      </w:r>
    </w:p>
    <w:p>
      <w:r>
        <w:t xml:space="preserve">haben.</w:t>
      </w:r>
    </w:p>
    <w:p>
      <w:r>
        <w:t xml:space="preserve">(2) Die Altersgrenze von 60 Jahren wird bei Altersrenten für Frauen für Versicherte, die nach dem 31. Dezember 1939 geboren sind, angehoben. Die vorzeitige Inanspruchnahme einer solchen Altersrente ist möglich. Die Anhebung der Altersgrenzen und die Möglichkeit der vorzeitigen Inanspruchnahme der Altersrenten bestimmen sich nach Anlage 20.</w:t>
      </w:r>
    </w:p>
    <w:p>
      <w:r>
        <w:t xml:space="preserve">(3) Die Altersgrenze von 60 Jahren bei der Altersrente für Frauen wird für Frauen, die</w:t>
      </w:r>
    </w:p>
    <w:p>
      <w:pPr>
        <w:ind w:left="420"/>
      </w:pPr>
      <w:r>
        <w:t xml:space="preserve">1. bis zum 7. Mai 1941 geboren sind und</w:t>
      </w:r>
    </w:p>
    <w:p>
      <w:pPr>
        <w:ind w:left="780"/>
      </w:pPr>
      <w:r>
        <w:t xml:space="preserve">a) am 7. Mai 1996 arbeitslos waren, Anpassungsgeld für entlassene Arbeitnehmer des Bergbaus, Vorruhestandsgeld oder Überbrückungsgeld der Seemannskasse bezogen haben oder</w:t>
      </w:r>
    </w:p>
    <w:p>
      <w:pPr>
        <w:ind w:left="780"/>
      </w:pPr>
      <w:r>
        <w:t xml:space="preserve">b) deren Arbeitsverhältnis aufgrund einer Kündigung oder Vereinbarung, die vor dem 7. Mai 1996 erfolgt ist, nach dem 6. Mai 1996 beendet worden ist,</w:t>
      </w:r>
    </w:p>
    <w:p>
      <w:pPr>
        <w:ind w:left="420"/>
      </w:pPr>
      <w:r>
        <w:t xml:space="preserve">2. bis zum 7. Mai 1944 geboren sind und aufgrund einer Maßnahme nach Artikel 56 § 2 Buchstabe b des Vertrages über die Gründung der Europäischen Gemeinschaft für Kohle und Stahl (EGKS-V), die vor dem 7. Mai 1996 genehmigt worden ist, aus einem Betrieb der Montanindustrie ausgeschieden sind oder</w:t>
      </w:r>
    </w:p>
    <w:p>
      <w:pPr>
        <w:ind w:left="420"/>
      </w:pPr>
      <w:r>
        <w:t xml:space="preserve">3. vor dem 1. Januar 1942 geboren sind und 45 Jahre mit Pflichtbeiträgen für eine versicherte Beschäftigung oder Tätigkeit haben, wobei § 55 Abs. 2 nicht für Zeiten anzuwenden ist, in denen Versicherte wegen des Bezugs von Arbeitslosengeld oder Arbeitslosenhilfe versicherungspflichtig waren,</w:t>
      </w:r>
    </w:p>
    <w:p>
      <w:r>
        <w:t xml:space="preserve">wie folgt angehoben:</w:t>
      </w:r>
    </w:p>
    <w:p>
      <w:r>
        <w:rPr>
          <w:rFonts w:ascii="Courier New" w:hAnsi="Courier New"/>
          <w:sz w:val="17"/>
        </w:rPr>
        <w:t xml:space="preserve">Versicherte Geburtsjahr Geburtsmonat    Anhebung um Monate    auf Alter    vorzeitige Inanspruchnahme möglich ab Alter</w:t>
      </w:r>
    </w:p>
    <w:p>
      <w:r>
        <w:rPr>
          <w:rFonts w:ascii="Courier New" w:hAnsi="Courier New"/>
          <w:sz w:val="17"/>
        </w:rPr>
        <w:t xml:space="preserve">Jahr    Monat    Jahr    Monat</w:t>
      </w:r>
    </w:p>
    <w:p>
      <w:r>
        <w:rPr>
          <w:rFonts w:ascii="Courier New" w:hAnsi="Courier New"/>
          <w:sz w:val="17"/>
        </w:rPr>
        <w:t xml:space="preserve">vor 1941    0    60    0    60    0</w:t>
      </w:r>
    </w:p>
    <w:p>
      <w:r>
        <w:rPr>
          <w:rFonts w:ascii="Courier New" w:hAnsi="Courier New"/>
          <w:sz w:val="17"/>
        </w:rPr>
        <w:t xml:space="preserve">1941                    </w:t>
      </w:r>
    </w:p>
    <w:p>
      <w:r>
        <w:rPr>
          <w:rFonts w:ascii="Courier New" w:hAnsi="Courier New"/>
          <w:sz w:val="17"/>
        </w:rPr>
        <w:t xml:space="preserve">Januar-April    1    60    1    60    0</w:t>
      </w:r>
    </w:p>
    <w:p>
      <w:r>
        <w:rPr>
          <w:rFonts w:ascii="Courier New" w:hAnsi="Courier New"/>
          <w:sz w:val="17"/>
        </w:rPr>
        <w:t xml:space="preserve">Mai-August    2    60    2    60    0</w:t>
      </w:r>
    </w:p>
    <w:p>
      <w:r>
        <w:rPr>
          <w:rFonts w:ascii="Courier New" w:hAnsi="Courier New"/>
          <w:sz w:val="17"/>
        </w:rPr>
        <w:t xml:space="preserve">September-Dezember    3    60    3    60    0</w:t>
      </w:r>
    </w:p>
    <w:p>
      <w:r>
        <w:rPr>
          <w:rFonts w:ascii="Courier New" w:hAnsi="Courier New"/>
          <w:sz w:val="17"/>
        </w:rPr>
        <w:t xml:space="preserve">1942                    </w:t>
      </w:r>
    </w:p>
    <w:p>
      <w:r>
        <w:rPr>
          <w:rFonts w:ascii="Courier New" w:hAnsi="Courier New"/>
          <w:sz w:val="17"/>
        </w:rPr>
        <w:t xml:space="preserve">Januar-April    4    60    4    60    0</w:t>
      </w:r>
    </w:p>
    <w:p>
      <w:r>
        <w:rPr>
          <w:rFonts w:ascii="Courier New" w:hAnsi="Courier New"/>
          <w:sz w:val="17"/>
        </w:rPr>
        <w:t xml:space="preserve">Mai-August    5    60    5    60    0</w:t>
      </w:r>
    </w:p>
    <w:p>
      <w:r>
        <w:rPr>
          <w:rFonts w:ascii="Courier New" w:hAnsi="Courier New"/>
          <w:sz w:val="17"/>
        </w:rPr>
        <w:t xml:space="preserve">September-Dezember    6    60    6    60    0</w:t>
      </w:r>
    </w:p>
    <w:p>
      <w:r>
        <w:rPr>
          <w:rFonts w:ascii="Courier New" w:hAnsi="Courier New"/>
          <w:sz w:val="17"/>
        </w:rPr>
        <w:t xml:space="preserve">1943                    </w:t>
      </w:r>
    </w:p>
    <w:p>
      <w:r>
        <w:rPr>
          <w:rFonts w:ascii="Courier New" w:hAnsi="Courier New"/>
          <w:sz w:val="17"/>
        </w:rPr>
        <w:t xml:space="preserve">Januar-April    7    60    7    60    0</w:t>
      </w:r>
    </w:p>
    <w:p>
      <w:r>
        <w:rPr>
          <w:rFonts w:ascii="Courier New" w:hAnsi="Courier New"/>
          <w:sz w:val="17"/>
        </w:rPr>
        <w:t xml:space="preserve">Mai-August    8    60    8    60    0</w:t>
      </w:r>
    </w:p>
    <w:p>
      <w:r>
        <w:rPr>
          <w:rFonts w:ascii="Courier New" w:hAnsi="Courier New"/>
          <w:sz w:val="17"/>
        </w:rPr>
        <w:t xml:space="preserve">September-Dezember    9    60    9    60    0</w:t>
      </w:r>
    </w:p>
    <w:p>
      <w:r>
        <w:rPr>
          <w:rFonts w:ascii="Courier New" w:hAnsi="Courier New"/>
          <w:sz w:val="17"/>
        </w:rPr>
        <w:t xml:space="preserve">1944                    </w:t>
      </w:r>
    </w:p>
    <w:p>
      <w:r>
        <w:rPr>
          <w:rFonts w:ascii="Courier New" w:hAnsi="Courier New"/>
          <w:sz w:val="17"/>
        </w:rPr>
        <w:t xml:space="preserve">Januar-April    10    60    10    60    0</w:t>
      </w:r>
    </w:p>
    <w:p>
      <w:r>
        <w:rPr>
          <w:rFonts w:ascii="Courier New" w:hAnsi="Courier New"/>
          <w:sz w:val="17"/>
        </w:rPr>
        <w:t xml:space="preserve">Mai    11    60    11    60    0</w:t>
      </w:r>
    </w:p>
    <w:p>
      <w:r>
        <w:t xml:space="preserve">Einer vor dem 7. Mai 1996 abgeschlossenen Vereinbarung über die Beendigung des Arbeitsverhältnisses steht eine vor diesem Tag vereinbarte Befristung des Arbeitsverhältnisses oder Bewilligung einer befristeten arbeitsmarktpolitischen Maßnahme gleich. Ein bestehender Vertrauensschutz wird insbesondere durch die spätere Aufnahme eines Arbeitsverhältnisses oder den Eintritt in eine neue arbeitsmarktpolitische Maßnahme nicht berührt.</w:t>
      </w:r>
    </w:p>
    <w:p>
      <w:r>
        <w:rPr>
          <w:color w:val="555555"/>
          <w:sz w:val="17"/>
        </w:rPr>
        <w:t xml:space="preserve">Zitiervorschlag: § 237a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https://recht.nulegal.eu/gesetze/SGB%206/237a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