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SGB 6 — Selbständig Tätige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Versicherungspflichtig sind selbständig tätige</w:t>
      </w:r>
    </w:p>
    <w:p>
      <w:pPr>
        <w:ind w:left="420"/>
      </w:pPr>
      <w:r>
        <w:t xml:space="preserve">1. Lehrer und Erzieher, die im Zusammenhang mit ihrer selbständigen Tätigkeit regelmäßig keinen versicherungspflichtigen Arbeitnehmer beschäftigen,</w:t>
      </w:r>
    </w:p>
    <w:p>
      <w:pPr>
        <w:ind w:left="420"/>
      </w:pPr>
      <w:r>
        <w:t xml:space="preserve">2. Pflegepersonen, die in der Kranken-, Wochen-, Säuglings- oder Kinderpflege tätig sind und im Zusammenhang mit ihrer selbständigen Tätigkeit regelmäßig keinen versicherungspflichtigen Arbeitnehmer beschäftigen,</w:t>
      </w:r>
    </w:p>
    <w:p>
      <w:pPr>
        <w:ind w:left="420"/>
      </w:pPr>
      <w:r>
        <w:t xml:space="preserve">3. Hebammen und Entbindungspfleger,</w:t>
      </w:r>
    </w:p>
    <w:p>
      <w:pPr>
        <w:ind w:left="420"/>
      </w:pPr>
      <w:r>
        <w:t xml:space="preserve">4. Seelotsen der Reviere im Sinne des Gesetzes über das Seelotswesen,</w:t>
      </w:r>
    </w:p>
    <w:p>
      <w:pPr>
        <w:ind w:left="420"/>
      </w:pPr>
      <w:r>
        <w:t xml:space="preserve">5. Künstler und Publizisten nach näherer Bestimmung des Künstlersozialversicherungsgesetzes,</w:t>
      </w:r>
    </w:p>
    <w:p>
      <w:pPr>
        <w:ind w:left="420"/>
      </w:pPr>
      <w:r>
        <w:t xml:space="preserve">6. Hausgewerbetreibende,</w:t>
      </w:r>
    </w:p>
    <w:p>
      <w:pPr>
        <w:ind w:left="420"/>
      </w:pPr>
      <w:r>
        <w:t xml:space="preserve">7. Küstenschiffer und Küstenfischer, die zur Besatzung ihres Fahrzeuges gehören oder als Küstenfischer ohne Fahrzeug fischen und regelmäßig nicht mehr als vier versicherungspflichtige Arbeitnehmer beschäftigen,</w:t>
      </w:r>
    </w:p>
    <w:p>
      <w:pPr>
        <w:ind w:left="420"/>
      </w:pPr>
      <w:r>
        <w:t xml:space="preserve">8. Gewerbetreibende, die in die Handwerksrolle eingetragen sind und in ihrer Person die für die Eintragung in die Handwerksrolle erforderlichen Voraussetzungen erfüllen, wobei Handwerksbetriebe im Sinne der §§ 2 und 3 der Handwerksordnung sowie Betriebsfortführungen auf Grund von § 4 der Handwerksordnung außer Betracht bleiben; ist eine rechtsfähige Personengesellschaft in die Handwerksrolle eingetragen, gilt als Gewerbetreibender, wer als Gesellschafter in seiner Person die Voraussetzungen für die Eintragung in die Handwerksrolle erfüllt,</w:t>
      </w:r>
    </w:p>
    <w:p>
      <w:pPr>
        <w:ind w:left="420"/>
      </w:pPr>
      <w:r>
        <w:t xml:space="preserve">9. Personen, die</w:t>
      </w:r>
    </w:p>
    <w:p>
      <w:pPr>
        <w:ind w:left="780"/>
      </w:pPr>
      <w:r>
        <w:t xml:space="preserve">a) im Zusammenhang mit ihrer selbständigen Tätigkeit regelmäßig keinen versicherungspflichtigen Arbeitnehmer beschäftigen und</w:t>
      </w:r>
    </w:p>
    <w:p>
      <w:pPr>
        <w:ind w:left="780"/>
      </w:pPr>
      <w:r>
        <w:t xml:space="preserve">b) auf Dauer und im Wesentlichen nur für einen Auftraggeber tätig sind; bei Gesellschaftern gelten als Auftraggeber die Auftraggeber der Gesellschaft.</w:t>
      </w:r>
    </w:p>
    <w:p>
      <w:r>
        <w:t xml:space="preserve">Als Arbeitnehmer im Sinne des Satzes 1 Nr. 1, 2, 7 und 9 gelten</w:t>
      </w:r>
    </w:p>
    <w:p>
      <w:pPr>
        <w:ind w:left="420"/>
      </w:pPr>
      <w:r>
        <w:t xml:space="preserve">1. auch Personen, die berufliche Kenntnisse, Fertigkeiten oder Erfahrungen im Rahmen beruflicher Bildung erwerben,</w:t>
      </w:r>
    </w:p>
    <w:p>
      <w:pPr>
        <w:ind w:left="420"/>
      </w:pPr>
      <w:r>
        <w:t xml:space="preserve">2. nicht Personen, die geringfügig beschäftigt sind,</w:t>
      </w:r>
    </w:p>
    <w:p>
      <w:pPr>
        <w:ind w:left="420"/>
      </w:pPr>
      <w:r>
        <w:t xml:space="preserve">3. für Gesellschafter auch die Arbeitnehmer der Gesellschaft.</w:t>
      </w:r>
    </w:p>
    <w:p>
      <w:r>
        <w:rPr>
          <w:color w:val="555555"/>
          <w:sz w:val="17"/>
        </w:rPr>
        <w:t xml:space="preserve">Zitiervorschlag: § 2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