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191 SGB 6 — Meldepflichten bei sonstigen versicherungspflichtigen Personen</w:t>
      </w:r>
    </w:p>
    <w:p>
      <w:r>
        <w:rPr>
          <w:color w:val="555555"/>
          <w:sz w:val="18"/>
        </w:rPr>
        <w:t xml:space="preserve">Sozialgesetzbuch (SGB) Sechstes Buch (VI) - Gesetzliche Rentenversicherung - (Artikel 1 des Gesetzes v. 18. Dezember 1989, BGBl. I S. 2261, 1990 I S. 1337)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Meldung nach § 28a Abs. 1 bis 3 des Vierten Buches haben zu erstatten</w:t>
      </w:r>
    </w:p>
    <w:p>
      <w:pPr>
        <w:ind w:left="420"/>
      </w:pPr>
      <w:r>
        <w:t xml:space="preserve">1. für Seelotsen die Lotsenbrüderschaften,</w:t>
      </w:r>
    </w:p>
    <w:p>
      <w:pPr>
        <w:ind w:left="420"/>
      </w:pPr>
      <w:r>
        <w:t xml:space="preserve">2. für Personen, für die Beiträge aus Sozialleistungen zu zahlen sind, die Leistungsträger und für Bezieher von Pflegeunterstützungsgeld die soziale oder private Pflegeversicherung,</w:t>
      </w:r>
    </w:p>
    <w:p>
      <w:pPr>
        <w:ind w:left="420"/>
      </w:pPr>
      <w:r>
        <w:t xml:space="preserve">3. für Personen, die Vorruhestandsgeld beziehen, die zur Zahlung des Vorruhestandsgeldes Verpflichteten,</w:t>
      </w:r>
    </w:p>
    <w:p>
      <w:pPr>
        <w:ind w:left="420"/>
      </w:pPr>
      <w:r>
        <w:t xml:space="preserve">4. für Entwicklungshelfer, für Personen, die für eine begrenzte Zeit im Ausland beschäftigt sind, für sekundierte Personen oder für sonstige im Ausland beschäftigte Personen die antragstellenden Stellen.</w:t>
      </w:r>
    </w:p>
    <w:p>
      <w:r>
        <w:t xml:space="preserve">§ 28a Abs. 5 sowie die §§ 28b und 28c des Vierten Buches gelten entsprechend.</w:t>
      </w:r>
    </w:p>
    <w:p>
      <w:r>
        <w:rPr>
          <w:color w:val="555555"/>
          <w:sz w:val="17"/>
        </w:rPr>
        <w:t xml:space="preserve">Zitiervorschlag: § 191 SGB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https://recht.nulegal.eu/gesetze/SGB%206/191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