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168 SGB 6 — Beitragstragung bei Beschäftigten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01.01.2025 (konsolidierte Textfassung, kein amtliches Inkrafttretensdatum)</w:t>
      </w:r>
    </w:p>
    <w:p>
      <w:r>
        <w:t xml:space="preserve">(1) Die Beiträge werden getragen</w:t>
      </w:r>
    </w:p>
    <w:p>
      <w:pPr>
        <w:ind w:left="420"/>
      </w:pPr>
      <w:r>
        <w:t xml:space="preserve">1. bei Personen, die gegen Arbeitsentgelt beschäftigt werden, von den Versicherten und von den Arbeitgebern je zur Hälfte,</w:t>
      </w:r>
    </w:p>
    <w:p>
      <w:pPr>
        <w:ind w:left="420"/>
      </w:pPr>
      <w:r>
        <w:t xml:space="preserve">1a. bei Arbeitnehmern, die Kurzarbeitergeld oder Qualifizierungsgeld beziehen, vom Arbeitgeber,</w:t>
      </w:r>
    </w:p>
    <w:p>
      <w:pPr>
        <w:ind w:left="420"/>
      </w:pPr>
      <w:r>
        <w:t xml:space="preserve">1b. bei Personen, die gegen Arbeitsentgelt geringfügig versicherungspflichtig beschäftigt werden, von den Arbeitgebern in Höhe des Betrages, der 15 vom Hundert des der Beschäftigung zugrunde liegenden Arbeitsentgelts entspricht, im Übrigen vom Versicherten,</w:t>
      </w:r>
    </w:p>
    <w:p>
      <w:pPr>
        <w:ind w:left="420"/>
      </w:pPr>
      <w:r>
        <w:t xml:space="preserve">1c. bei Personen, die gegen Arbeitsentgelt in Privathaushalten geringfügig versicherungspflichtig beschäftigt werden, von den Arbeitgebern in Höhe des Betrages, der 5 vom Hundert des der Beschäftigung zugrunde liegenden Arbeitsentgelts entspricht, im Übrigen vom Versicherten,</w:t>
      </w:r>
    </w:p>
    <w:p>
      <w:pPr>
        <w:ind w:left="420"/>
      </w:pPr>
      <w:r>
        <w:t xml:space="preserve">1d. bei Beschäftigten, deren beitragspflichtige Einnahme sich nach § 163 Absatz 7 bestimmt, von den Beschäftigten in Höhe der Hälfte des Betrages, der sich ergibt, wenn der Beitragssatz auf die nach Maßgabe von § 20 Absatz 2a Satz 6 des Vierten Buches ermittelte beitragspflichtige Einnahme angewendet wird, im Übrigen von den Arbeitgebern,</w:t>
      </w:r>
    </w:p>
    <w:p>
      <w:pPr>
        <w:ind w:left="420"/>
      </w:pPr>
      <w:r>
        <w:t xml:space="preserve">2. bei behinderten Menschen von den Trägern der Einrichtung oder dem anderen Leistungsanbieter nach § 60 des Neunten Buches, wenn ein Arbeitsentgelt nicht bezogen wird oder das monatliche Arbeitsentgelt 20 vom Hundert der monatlichen Bezugsgröße nicht übersteigt, sowie für den Betrag zwischen dem monatlichen Arbeitsentgelt und 80 vom Hundert der monatlichen Bezugsgröße, wenn das monatliche Arbeitsentgelt 80 vom Hundert der monatlichen Bezugsgröße nicht übersteigt, im Übrigen von den Versicherten und den Trägern der Einrichtung oder dem anderen Leistungsanbieter nach § 60 des Neunten Buches je zur Hälfte,</w:t>
      </w:r>
    </w:p>
    <w:p>
      <w:pPr>
        <w:ind w:left="420"/>
      </w:pPr>
      <w:r>
        <w:t xml:space="preserve">2a. bei behinderten Menschen, die im Anschluss an eine Beschäftigung in einer nach dem Neunten Buch anerkannten Werkstatt für behinderte Menschen oder nach einer Beschäftigung bei einem anderen Leistungsanbieter nach § 60 des Neunten Buches in einem Inklusionsbetrieb (§ 215 des Neunten Buches) beschäftigt sind, von den Trägern der Inklusionsbetriebe für den Betrag zwischen dem monatlichen Arbeitsentgelt und 80 vom Hundert der monatlichen Bezugsgröße, wenn das monatliche Arbeitsentgelt 80 vom Hundert der monatlichen Bezugsgröße nicht übersteigt, im Übrigen von den Versicherten und den Trägern der Inklusionsbetriebe je zur Hälfte,</w:t>
      </w:r>
    </w:p>
    <w:p>
      <w:pPr>
        <w:ind w:left="420"/>
      </w:pPr>
      <w:r>
        <w:t xml:space="preserve">3. bei Personen, die für eine Erwerbstätigkeit befähigt werden sollen, von den Trägern der Einrichtung,</w:t>
      </w:r>
    </w:p>
    <w:p>
      <w:pPr>
        <w:ind w:left="420"/>
      </w:pPr>
      <w:r>
        <w:t xml:space="preserve">3a. bei behinderten Menschen während der individuellen betrieblichen Qualifizierung im Rahmen der Unterstützten Beschäftigung nach § 55 des Neunten Buches von dem zuständigen Rehabilitationsträger,</w:t>
      </w:r>
    </w:p>
    <w:p>
      <w:pPr>
        <w:ind w:left="420"/>
      </w:pPr>
      <w:r>
        <w:t xml:space="preserve">4. bei Mitgliedern geistlicher Genossenschaften, Diakonissen und Angehörigen ähnlicher Gemeinschaften von den Genossenschaften oder Gemeinschaften, wenn das monatliche Arbeitsentgelt 40 vom Hundert der monatlichen Bezugsgröße nicht übersteigt, im Übrigen von den Mitgliedern und den Genossenschaften oder Gemeinschaften je zur Hälfte,</w:t>
      </w:r>
    </w:p>
    <w:p>
      <w:pPr>
        <w:ind w:left="420"/>
      </w:pPr>
      <w:r>
        <w:t xml:space="preserve">5. bei Arbeitnehmern, die ehrenamtlich tätig sind, für den Unterschiedsbetrag von ihnen selbst,</w:t>
      </w:r>
    </w:p>
    <w:p>
      <w:pPr>
        <w:ind w:left="420"/>
      </w:pPr>
      <w:r>
        <w:t xml:space="preserve">6. bei Arbeitnehmern, die nach dem Altersteilzeitgesetz Aufstockungsbeträge zum Arbeitsentgelt erhalten, für die sich nach § 163 Abs. 5 Satz 1 ergebende beitragspflichtige Einnahme von den Arbeitgebern,</w:t>
      </w:r>
    </w:p>
    <w:p>
      <w:pPr>
        <w:ind w:left="420"/>
      </w:pPr>
      <w:r>
        <w:t xml:space="preserve">7. bei Arbeitnehmern, die nach dem Altersteilzeitgesetz Aufstockungsbeträge zum Krankengeld, Krankengeld der Sozialen Entschädigung, Krankengeld der Soldatenentschädigung, Verletztengeld, Übergangsgeld oder Krankentagegeld erhalten, für die sich nach § 163 Abs. 5 Satz 2 ergebende beitragspflichtige Einnahme</w:t>
      </w:r>
    </w:p>
    <w:p>
      <w:pPr>
        <w:ind w:left="780"/>
      </w:pPr>
      <w:r>
        <w:t xml:space="preserve">a) von der Bundesagentur oder, im Fall der Leistungserbringung nach § 10 Abs. 2 Satz 2 des Altersteilzeitgesetzes, von den Arbeitgebern, wenn die Voraussetzungen des § 4 des Altersteilzeitgesetzes vorliegen,</w:t>
      </w:r>
    </w:p>
    <w:p>
      <w:pPr>
        <w:ind w:left="780"/>
      </w:pPr>
      <w:r>
        <w:t xml:space="preserve">b) von den Arbeitgebern, wenn die Voraussetzungen des § 4 des Altersteilzeitgesetzes nicht vorliegen.</w:t>
      </w:r>
    </w:p>
    <w:p>
      <w:r>
        <w:t xml:space="preserve">(2) Wird infolge einmalig gezahlten Arbeitsentgelts die in Absatz 1 Nr. 2 genannte Grenze von 20 vom Hundert der monatlichen Bezugsgröße überschritten, tragen die Versicherten und die Arbeitgeber die Beiträge von dem diese Grenze übersteigenden Teil des Arbeitsentgelts jeweils zur Hälfte; im Übrigen tragen die Arbeitgeber den Beitrag allein.</w:t>
      </w:r>
    </w:p>
    <w:p>
      <w:r>
        <w:t xml:space="preserve">(3) Personen, die in der knappschaftlichen Rentenversicherung versichert sind, tragen die Beiträge in Höhe des Vomhundertsatzes, den sie zu tragen hätten, wenn sie in der allgemeinen Rentenversicherung versichert wären; im Übrigen tragen die Arbeitgeber die Beiträge.</w:t>
      </w:r>
    </w:p>
    <w:p>
      <w:r>
        <w:rPr>
          <w:color w:val="555555"/>
          <w:sz w:val="17"/>
        </w:rPr>
        <w:t xml:space="preserve">Zitiervorschlag: § 168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https://recht.nulegal.eu/gesetze/SGB%206/168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