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 SGB 6 — Beitragsbemessungsgrenzen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Beitragsbemessungsgrenzen in der allgemeinen Rentenversicherung sowie in der knappschaftlichen Rentenversicherung ändern sich zum 1. Januar eines jeden Jahres in dem Verhältnis, in dem die Bruttolöhne und -gehälter je Arbeitnehmer (§ 68 Abs. 2 Satz 1) im vergangenen zu den entsprechenden Bruttolöhnen und -gehältern im vorvergangenen Kalenderjahr stehen. Die veränderten Beträge werden nur für das Kalenderjahr, für das die Beitragsbemessungsgrenze bestimmt wird, auf das nächsthöhere Vielfache von 600 aufgerundet.</w:t>
      </w:r>
    </w:p>
    <w:p>
      <w:r>
        <w:rPr>
          <w:color w:val="555555"/>
          <w:sz w:val="17"/>
        </w:rPr>
        <w:t xml:space="preserve">Zitiervorschlag: § 159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https://recht.nulegal.eu/gesetze/SGB%206/159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