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158 SGB 6 — Beitragssätze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01.01.2026 (konsolidierte Textfassung, kein amtliches Inkrafttretensdatum)</w:t>
      </w:r>
    </w:p>
    <w:p>
      <w:r>
        <w:t xml:space="preserve">(1) Der Beitragssatz in der allgemeinen Rentenversicherung ist vom 1. Januar eines Jahres an zu verändern, wenn am 31. Dezember dieses Jahres bei Beibehaltung des bisherigen Beitragssatzes die Mittel der Nachhaltigkeitsrücklage</w:t>
      </w:r>
    </w:p>
    <w:p>
      <w:pPr>
        <w:ind w:left="420"/>
      </w:pPr>
      <w:r>
        <w:t xml:space="preserve">1. das 0,3fache der durchschnittlichen Ausgaben zu eigenen Lasten der Träger der allgemeinen Rentenversicherung für einen Kalendermonat (Mindestrücklage) voraussichtlich unterschreiten oder</w:t>
      </w:r>
    </w:p>
    <w:p>
      <w:pPr>
        <w:ind w:left="420"/>
      </w:pPr>
      <w:r>
        <w:t xml:space="preserve">2. das 1,5fache der in Nummer 1 genannten Ausgaben für einen Kalendermonat (Höchstnachhaltigkeitsrücklage) voraussichtlich übersteigen.</w:t>
      </w:r>
    </w:p>
    <w:p>
      <w:r>
        <w:t xml:space="preserve">Ausgaben zu eigenen Lasten sind alle Ausgaben nach Abzug des Bundeszuschusses nach § 213 Abs. 2, der Erstattungen und der empfangenen Ausgleichszahlungen.</w:t>
      </w:r>
    </w:p>
    <w:p>
      <w:r>
        <w:t xml:space="preserve">(2) Der Beitragssatz ist so neu festzusetzen, dass die voraussichtlichen Beitragseinnahmen unter Berücksichtigung der voraussichtlichen Entwicklung der Bruttolöhne und -gehälter je Arbeitnehmer (§ 68 Abs. 2 Satz 1) und der Zahl der Pflichtversicherten zusammen mit den Zuschüssen des Bundes und den sonstigen Einnahmen unter Berücksichtigung von Entnahmen aus der Nachhaltigkeitsrücklage ausreichen, um die voraussichtlichen Ausgaben in dem auf die Festsetzung folgenden Kalenderjahr zu decken und sicherzustellen, dass die Mittel der Nachhaltigkeitsrücklage am Ende dieses Kalenderjahres</w:t>
      </w:r>
    </w:p>
    <w:p>
      <w:pPr>
        <w:ind w:left="420"/>
      </w:pPr>
      <w:r>
        <w:t xml:space="preserve">1. im Falle von Absatz 1 Nr. 1 dem Betrag der Mindestrücklage oder</w:t>
      </w:r>
    </w:p>
    <w:p>
      <w:pPr>
        <w:ind w:left="420"/>
      </w:pPr>
      <w:r>
        <w:t xml:space="preserve">2. im Falle von Absatz 1 Nr. 2 dem Betrag der Höchstnachhaltigkeitsrücklage</w:t>
      </w:r>
    </w:p>
    <w:p>
      <w:r>
        <w:t xml:space="preserve">voraussichtlich entsprechen. Der Beitragssatz ist auf eine Dezimalstelle aufzurunden.</w:t>
      </w:r>
    </w:p>
    <w:p>
      <w:r>
        <w:t xml:space="preserve">(3) Der Beitragssatz in der knappschaftlichen Rentenversicherung wird jeweils in dem Verhältnis verändert, in dem er sich in der allgemeinen Rentenversicherung ändert; der Beitragssatz ist nur für das jeweilige Kalenderjahr auf eine Dezimalstelle aufzurunden.</w:t>
      </w:r>
    </w:p>
    <w:p>
      <w:r>
        <w:t xml:space="preserve">(4) Wird der Beitragssatz in der allgemeinen Rentenversicherung vom 1. Januar des Jahres an nicht verändert, macht das Bundesministerium für Arbeit und Soziales im Bundesgesetzblatt das Weitergelten der Beitragssätze bekannt.</w:t>
      </w:r>
    </w:p>
    <w:p>
      <w:r>
        <w:rPr>
          <w:color w:val="555555"/>
          <w:sz w:val="17"/>
        </w:rPr>
        <w:t xml:space="preserve">Zitiervorschlag: § 158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