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122 SGB 6 — Berechnung von Zeiten</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(1) Ein Kalendermonat, der nur zum Teil mit rentenrechtlichen Zeiten belegt ist, zählt als voller Monat.</w:t>
      </w:r>
    </w:p>
    <w:p>
      <w:r>
        <w:t xml:space="preserve">(2) Ein Zeitraum, der in Jahren bestimmt ist, umfasst für jedes zu berücksichtigende Jahr zwölf Monate. Ist für den Beginn oder das Ende eines Zeitraums ein bestimmtes Ereignis maßgebend, wird auch der Kalendermonat, in den das Ereignis fällt, berücksichtigt.</w:t>
      </w:r>
    </w:p>
    <w:p>
      <w:r>
        <w:t xml:space="preserve">(3) Sind Zeiten bis zu einer Höchstdauer zu berücksichtigen, werden die am weitesten zurückliegenden Kalendermonate zunächst berücksichtigt.</w:t>
      </w:r>
    </w:p>
    <w:p>
      <w:r>
        <w:rPr>
          <w:color w:val="555555"/>
          <w:sz w:val="17"/>
        </w:rPr>
        <w:t xml:space="preserve">Zitiervorschlag: § 122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https://recht.nulegal.eu/gesetze/SGB%206/122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