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86a SGB 5 — Verwendung von Überweisungen in elektronischer Form</w:t>
      </w:r>
    </w:p>
    <w:p>
      <w:r>
        <w:rPr>
          <w:color w:val="555555"/>
          <w:sz w:val="18"/>
        </w:rPr>
        <w:t xml:space="preserve">Sozialgesetzbuch (SGB) Fünftes Buch (V) - Gesetzliche Krankenversicherung - (Artikel 1 des Gesetzes v. 20. Dezember 1988, BGBl. I S. 2477)</w:t>
      </w:r>
    </w:p>
    <w:p>
      <w:r>
        <w:rPr>
          <w:color w:val="555555"/>
          <w:sz w:val="18"/>
        </w:rPr>
        <w:t xml:space="preserve">Stand: 22.10.2020 (konsolidierte Textfassung, kein amtliches Inkrafttretensdatum)</w:t>
      </w:r>
    </w:p>
    <w:p>
      <w:r>
        <w:t xml:space="preserve">Die Kassenärztlichen Bundesvereinigungen vereinbaren mit dem Spitzenverband Bund der Krankenkassen als Bestandteil der Bundesmantelverträge bis zum 31. Juli 2021 die notwendigen Regelungen zur barrierefreien Verwendung von Überweisungen in elektronischer Form. In den Vereinbarungen ist festzulegen, dass die Dienste der Telematikinfrastruktur für die Übermittlung der elektronischen Überweisung zu verwenden sind, sobald diese zur Verfügung stehen.</w:t>
      </w:r>
    </w:p>
    <w:p>
      <w:r>
        <w:rPr>
          <w:color w:val="555555"/>
          <w:sz w:val="17"/>
        </w:rPr>
        <w:t xml:space="preserve">Zitiervorschlag: § 86a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https://recht.nulegal.eu/gesetze/SGB%205/86a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