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SGB 5 — Grundsätze</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(1) Den allgemeinen Inhalt der Gesamtverträge vereinbaren die Kassenärztlichen Bundesvereinigungen mit dem Spitzenverband Bund der Krankenkassen in Bundesmantelverträgen. Der Inhalt der Bundesmantelverträge ist Bestandteil der Gesamtverträge.</w:t>
      </w:r>
    </w:p>
    <w:p>
      <w:r>
        <w:t xml:space="preserve">(2) Die Vergütungen der an der vertragsärztlichen Versorgung teilnehmenden Ärzte und Einrichtungen werden von den Landesverbänden der Krankenkassen und den Ersatzkassen mit den Kassenärztlichen Vereinigungen durch Gesamtverträge geregelt. Die Verhandlungen können auch von allen Kassenarten gemeinsam geführt werden.</w:t>
      </w:r>
    </w:p>
    <w:p>
      <w:r>
        <w:t xml:space="preserve">(3) Die Kassenärztlichen Bundesvereinigungen können mit nicht bundesunmittelbaren Ersatzkassen, der Deutschen Rentenversicherung Knappschaft-Bahn-See und der landwirtschaftlichen Krankenkasse von § 83 Satz 1 abweichende Verfahren zur Vereinbarung der Gesamtverträge, von § 85 Abs. 1 und § 87a Abs. 3 abweichende Verfahren zur Entrichtung der in den Gesamtverträgen vereinbarten Vergütungen sowie von § 291a Absatz 2 Nummer 1 abweichende Kennzeichen vereinbaren.</w:t>
      </w:r>
    </w:p>
    <w:p>
      <w:r>
        <w:t xml:space="preserve">(4) In den Verträgen ist ebenfalls das Nähere zur erneuten Verordnung eines mangelfreien Arzneimittels für versicherte Personen im Fall des § 31 Absatz 3 Satz 7 zu vereinbaren, insbesondere zur Kennzeichnung entsprechender Ersatzverordnungen.</w:t>
      </w:r>
    </w:p>
    <w:p>
      <w:r>
        <w:rPr>
          <w:color w:val="555555"/>
          <w:sz w:val="17"/>
        </w:rPr>
        <w:t xml:space="preserve">Zitiervorschlag: § 82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