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75a SGB 5 — Förderung der Weiterbildung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02.02.2020 (konsolidierte Textfassung, kein amtliches Inkrafttretensdatum)</w:t>
      </w:r>
    </w:p>
    <w:p>
      <w:r>
        <w:t xml:space="preserve">(1) Die Kassenärztlichen Vereinigungen und die Krankenkassen sind zur Sicherung der hausärztlichen Versorgung verpflichtet, die allgemeinmedizinische Weiterbildung in den Praxen zugelassener Ärzte und zugelassener medizinischer Versorgungszentren zu fördern. Die Kassenärztlichen Vereinigungen und die Krankenkassen tragen die Kosten der Förderung für die Weiterbildung in der Allgemeinmedizin im ambulanten Bereich je zur Hälfte. Die Zuschüsse der Krankenkassen werden außerhalb der Gesamtvergütung für die vertragsärztliche Versorgung gewährt. Die Förderung ist von der Weiterbildungsstelle auf die im Krankenhaus übliche Vergütung anzuheben und an den Weiterzubildenden in voller Höhe auszuzahlen.</w:t>
      </w:r>
    </w:p>
    <w:p>
      <w:r>
        <w:t xml:space="preserve">(2) Die Krankenkassen sind zur Sicherung der hausärztlichen Versorgung auch verpflichtet, die allgemeinmedizinische Weiterbildung in zugelassenen Krankenhäusern und in Vorsorge- und Rehabilitationseinrichtungen, für die ein Versorgungsvertrag nach § 111 besteht, zu fördern. Die Zuschüsse der Krankenkassen werden außerhalb der mit den Krankenhäusern vereinbarten Budgets gewährt.</w:t>
      </w:r>
    </w:p>
    <w:p>
      <w:r>
        <w:t xml:space="preserve">(3) Die Anzahl der zu fördernden Stellen soll bundesweit insgesamt mindestens 7 500 betragen. Die Kassenärztlichen Vereinigungen dürfen die Anzahl der zu fördernden Weiterbildungsstellen nicht begrenzen.</w:t>
      </w:r>
    </w:p>
    <w:p>
      <w:r>
        <w:t xml:space="preserve">(4) Die Kassenärztliche Bundesvereinigung vereinbart mit dem Spitzenverband Bund der Krankenkassen und der Deutschen Krankenhausgesellschaft das Nähere über den Umfang und die Durchführung der finanziellen Förderung nach den Absätzen 1 bis 3. Sie haben insbesondere Vereinbarungen zu treffen über</w:t>
      </w:r>
    </w:p>
    <w:p>
      <w:pPr>
        <w:ind w:left="420"/>
      </w:pPr>
      <w:r>
        <w:t xml:space="preserve">1. die Höhe der finanziellen Förderung,</w:t>
      </w:r>
    </w:p>
    <w:p>
      <w:pPr>
        <w:ind w:left="420"/>
      </w:pPr>
      <w:r>
        <w:t xml:space="preserve">2. die Sicherstellung einer durchgängigen Förderung auch bei einem Wechsel in eine andere Weiterbildungsstelle in einem Bezirk einer anderen Kassenärztlichen Vereinigung,</w:t>
      </w:r>
    </w:p>
    <w:p>
      <w:pPr>
        <w:ind w:left="420"/>
      </w:pPr>
      <w:r>
        <w:t xml:space="preserve">3. die Verteilung der zu fördernden Stellen auf die Kassenärztlichen Vereinigungen,</w:t>
      </w:r>
    </w:p>
    <w:p>
      <w:pPr>
        <w:ind w:left="420"/>
      </w:pPr>
      <w:r>
        <w:t xml:space="preserve">4. ein finanzielles Ausgleichverfahren, wenn in einem Bezirk einer Kassenärztlichen Vereinigung mehr oder weniger Weiterbildungsstellen gefördert werden, als nach Nummer 3 vorgesehen sind, sowie</w:t>
      </w:r>
    </w:p>
    <w:p>
      <w:pPr>
        <w:ind w:left="420"/>
      </w:pPr>
      <w:r>
        <w:t xml:space="preserve">5. die zu fördernden Fachärzte aus dem Bereich der allgemeinen fachärztlichen Versorgung, die an der Grundversorgung teilnehmen (grundversorgende Fachärzte).</w:t>
      </w:r>
    </w:p>
    <w:p>
      <w:r>
        <w:t xml:space="preserve">Mit der Bundesärztekammer ist das Benehmen herzustellen. Wird eine Vereinbarung ganz oder teilweise beendet und kommt bis zum Ablauf der Vereinbarungszeit keine neue Vereinbarung zustande, entscheidet das sektorenübergreifende Schiedsgremium auf Bundesebene gemäß § 89a.</w:t>
      </w:r>
    </w:p>
    <w:p>
      <w:r>
        <w:t xml:space="preserve">(5) Die Höhe der finanziellen Beteiligung der Krankenkassen an den Kosten der Förderung der allgemeinmedizinischen Weiterbildung vermindert sich um den von den privaten Krankenversicherungsunternehmen gezahlten Betrag. Über die Verträge nach Absatz 4 ist das Einvernehmen mit dem Verband der Privaten Krankenversicherung anzustreben.</w:t>
      </w:r>
    </w:p>
    <w:p>
      <w:r>
        <w:t xml:space="preserve">(6) Die nach Absatz 4 Satz 2 Nummer 1 zu vereinbarende Höhe der finanziellen Förderung ist so zu bemessen, dass die Weiterzubildenden in allen Weiterbildungseinrichtungen nach den Absätzen 1 und 2 eine angemessene Vergütung erhalten. In Gebieten, für die der Landesausschuss der Ärzte und Krankenkassen für den Bereich der hausärztlichen Versorgung eine Feststellung nach § 100 Absatz 1 Satz 1 getroffen hat, soll eine höhere finanzielle Förderung vorgesehen werden. Die Vertragspartner haben die Angemessenheit der Förderung regelmäßig zu überprüfen und soweit erforderlich anzupassen.</w:t>
      </w:r>
    </w:p>
    <w:p>
      <w:r>
        <w:t xml:space="preserve">(7) In den Verträgen nach Absatz 4 kann auch vereinbart werden, dass</w:t>
      </w:r>
    </w:p>
    <w:p>
      <w:pPr>
        <w:ind w:left="420"/>
      </w:pPr>
      <w:r>
        <w:t xml:space="preserve">1. die Fördermittel durch eine zentrale Stelle auf Landes- oder Bundesebene verwaltet werden,</w:t>
      </w:r>
    </w:p>
    <w:p>
      <w:pPr>
        <w:ind w:left="420"/>
      </w:pPr>
      <w:r>
        <w:t xml:space="preserve">2. eine finanzielle Beteiligung an regionalen Projekten zur Förderung der Allgemeinmedizin erfolgt,</w:t>
      </w:r>
    </w:p>
    <w:p>
      <w:pPr>
        <w:ind w:left="420"/>
      </w:pPr>
      <w:r>
        <w:t xml:space="preserve">3. bis zu 5 Prozent der vorgesehenen Fördermittel überregional für die Errichtung und Organisation von Einrichtungen, die die Qualität und Effizienz der Weiterbildung verbessern können, und für die Qualifizierung von Weiterbildern bereitgestellt werden,</w:t>
      </w:r>
    </w:p>
    <w:p>
      <w:pPr>
        <w:ind w:left="420"/>
      </w:pPr>
      <w:r>
        <w:t xml:space="preserve">4. in einem Förderungszeitraum nicht abgerufene Fördermittel in den darauffolgenden Förderzeitraum übertragen sowie überregional und unabhängig von der Art der Weiterbildungseinrichtung bereitgestellt werden.</w:t>
      </w:r>
    </w:p>
    <w:p>
      <w:r>
        <w:t xml:space="preserve">(8) Die Kassenärztlichen Vereinigungen können zur Erfüllung der in Absatz 1 genannten Aufgaben kooperieren oder eine Kassenärztliche Vereinigung mit der Durchführung der Aufgaben nach Absatz 1 beauftragen.</w:t>
      </w:r>
    </w:p>
    <w:p>
      <w:r>
        <w:t xml:space="preserve">(9) Die Absätze 1 und 4 bis 8 gelten für die Förderung der Weiterbildung in der ambulanten grundversorgenden fachärztlichen Versorgung nach Maßgabe der Vereinbarung nach Absatz 4 Satz 2 Nummer 5 entsprechend. Es sind bundesweit bis zu 2 000 Weiterbildungsstellen, davon mindestens 250 Weiterbildungsstellen in der Kinder- und Jugendmedizin, zu fördern.</w:t>
      </w:r>
    </w:p>
    <w:p>
      <w:r>
        <w:rPr>
          <w:color w:val="555555"/>
          <w:sz w:val="17"/>
        </w:rPr>
        <w:t xml:space="preserve">Zitiervorschlag: § 75a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https://recht.nulegal.eu/gesetze/SGB%205/75a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75a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