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68a SGB 5 — Förderung der Entwicklung digitaler Innovationen durch Krankenkassen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10.01.2020 (konsolidierte Textfassung, kein amtliches Inkrafttretensdatum)</w:t>
      </w:r>
    </w:p>
    <w:p>
      <w:r>
        <w:t xml:space="preserve">(1) Zur Verbesserung der Qualität und der Wirtschaftlichkeit der Versorgung können Krankenkassen die Entwicklung digitaler Innovationen fördern. Die Förderung muss möglichst bedarfsgerecht und zielgerichtet sein und soll insbesondere zur Verbesserung der Versorgungsqualität und Versorgungseffizienz, zur Behebung von Versorgungsdefiziten sowie zur verbesserten Patientenorientierung in der Versorgung beitragen.</w:t>
      </w:r>
    </w:p>
    <w:p>
      <w:r>
        <w:t xml:space="preserve">(2) Digitale Innovationen im Sinne des Absatzes 1 sind insbesondere</w:t>
      </w:r>
    </w:p>
    <w:p>
      <w:pPr>
        <w:ind w:left="420"/>
      </w:pPr>
      <w:r>
        <w:t xml:space="preserve">1. digitale Medizinprodukte,</w:t>
      </w:r>
    </w:p>
    <w:p>
      <w:pPr>
        <w:ind w:left="420"/>
      </w:pPr>
      <w:r>
        <w:t xml:space="preserve">2. telemedizinische Verfahren oder</w:t>
      </w:r>
    </w:p>
    <w:p>
      <w:pPr>
        <w:ind w:left="420"/>
      </w:pPr>
      <w:r>
        <w:t xml:space="preserve">3. IT-gestützte Verfahren in der Versorgung.</w:t>
      </w:r>
    </w:p>
    <w:p>
      <w:r>
        <w:t xml:space="preserve">(3) Krankenkassen können digitale Innovationen in Zusammenarbeit mit Dritten entwickeln oder von diesen entwickeln lassen. Dritte sind insbesondere</w:t>
      </w:r>
    </w:p>
    <w:p>
      <w:pPr>
        <w:ind w:left="420"/>
      </w:pPr>
      <w:r>
        <w:t xml:space="preserve">1. Hersteller von Medizinprodukten,</w:t>
      </w:r>
    </w:p>
    <w:p>
      <w:pPr>
        <w:ind w:left="420"/>
      </w:pPr>
      <w:r>
        <w:t xml:space="preserve">2. Unternehmen aus dem Bereich der Informationstechnologie,</w:t>
      </w:r>
    </w:p>
    <w:p>
      <w:pPr>
        <w:ind w:left="420"/>
      </w:pPr>
      <w:r>
        <w:t xml:space="preserve">3. Forschungseinrichtungen sowie</w:t>
      </w:r>
    </w:p>
    <w:p>
      <w:pPr>
        <w:ind w:left="420"/>
      </w:pPr>
      <w:r>
        <w:t xml:space="preserve">4. Leistungserbringer und Gemeinschaften von Leistungserbringern.</w:t>
      </w:r>
    </w:p>
    <w:p>
      <w:r>
        <w:t xml:space="preserve">(4) Die Förderung erfolgt entweder durch eine fachlich-inhaltliche Kooperation mit Dritten nach Absatz 3 oder durch einen Erwerb von Anteilen an Investmentvermögen nach § 263a, soweit sie mit einer fachlich-inhaltlichen Kooperation zwischen Krankenkasse und Kapitalverwaltungsgesellschaft verbunden wird.</w:t>
      </w:r>
    </w:p>
    <w:p>
      <w:r>
        <w:t xml:space="preserve">(5) Um den konkreten Versorgungsbedarf und den möglichen Einfluss digitaler Innovationen auf die Versorgung zu ermitteln und um positive Versorgungseffekte digitaler Anwendungen zu evaluieren, können Krankenkassen die versichertenbezogenen Daten, die sie nach § 284 Absatz 1 rechtmäßig erhoben und gespeichert haben, im erforderlichen Umfang auswerten. Vor der Auswertung sind die Daten zu pseudonymisieren. Die Krankenkasse hat die pseudonymisierten Daten zu anonymisieren, wenn den Zwecken der Datenauswertung auch mit anonymisierten Daten entsprochen werden kann. Eine Übermittlung dieser Daten an Dritte nach den Absätzen 3 und 4 ist ausgeschlossen.</w:t>
      </w:r>
    </w:p>
    <w:p>
      <w:r>
        <w:rPr>
          <w:color w:val="555555"/>
          <w:sz w:val="17"/>
        </w:rPr>
        <w:t xml:space="preserve">Zitiervorschlag: § 68a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